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1B2" w:rsidRPr="00196488" w:rsidRDefault="007C21B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7C21B2" w:rsidRPr="00196488" w:rsidRDefault="007C21B2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66486B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bookmarkStart w:id="0" w:name="_GoBack"/>
      <w:bookmarkEnd w:id="0"/>
      <w:r>
        <w:rPr>
          <w:rFonts w:ascii="Times New Roman" w:hAnsi="Times New Roman"/>
          <w:b/>
          <w:lang w:eastAsia="ar-SA"/>
        </w:rPr>
        <w:t>GMINA MRĄGOWO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7C21B2" w:rsidRPr="00196488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proofErr w:type="gramStart"/>
      <w:r>
        <w:rPr>
          <w:rFonts w:ascii="Times New Roman" w:hAnsi="Times New Roman"/>
          <w:b/>
          <w:lang w:eastAsia="ar-SA"/>
        </w:rPr>
        <w:t>UL.KRÓLEWIECKA</w:t>
      </w:r>
      <w:proofErr w:type="gramEnd"/>
      <w:r>
        <w:rPr>
          <w:rFonts w:ascii="Times New Roman" w:hAnsi="Times New Roman"/>
          <w:b/>
          <w:lang w:eastAsia="ar-SA"/>
        </w:rPr>
        <w:t xml:space="preserve"> 60A</w:t>
      </w:r>
    </w:p>
    <w:p w:rsidR="007C21B2" w:rsidRPr="006750D4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02202" w:rsidRPr="00446336" w:rsidRDefault="00B02202" w:rsidP="00B02202">
      <w:pPr>
        <w:rPr>
          <w:sz w:val="24"/>
          <w:szCs w:val="24"/>
        </w:rPr>
      </w:pPr>
      <w:r w:rsidRPr="00446336">
        <w:rPr>
          <w:sz w:val="24"/>
          <w:szCs w:val="24"/>
        </w:rPr>
        <w:t>IPP.271.1</w:t>
      </w:r>
      <w:r w:rsidR="001E197D">
        <w:rPr>
          <w:sz w:val="24"/>
          <w:szCs w:val="24"/>
        </w:rPr>
        <w:t>0</w:t>
      </w:r>
      <w:r w:rsidRPr="00446336">
        <w:rPr>
          <w:sz w:val="24"/>
          <w:szCs w:val="24"/>
        </w:rPr>
        <w:t>.2018</w:t>
      </w:r>
    </w:p>
    <w:p w:rsidR="00B02202" w:rsidRPr="00446336" w:rsidRDefault="00B02202" w:rsidP="00B02202">
      <w:pPr>
        <w:rPr>
          <w:sz w:val="24"/>
          <w:szCs w:val="24"/>
        </w:rPr>
      </w:pPr>
      <w:r w:rsidRPr="00446336">
        <w:rPr>
          <w:sz w:val="24"/>
          <w:szCs w:val="24"/>
        </w:rPr>
        <w:t>RZP.I.1</w:t>
      </w:r>
      <w:r w:rsidR="001E197D">
        <w:rPr>
          <w:sz w:val="24"/>
          <w:szCs w:val="24"/>
        </w:rPr>
        <w:t>0</w:t>
      </w:r>
      <w:r w:rsidRPr="00446336">
        <w:rPr>
          <w:sz w:val="24"/>
          <w:szCs w:val="24"/>
        </w:rPr>
        <w:t>.2018</w:t>
      </w:r>
    </w:p>
    <w:p w:rsidR="00B02202" w:rsidRPr="00EC60A0" w:rsidRDefault="00B02202" w:rsidP="00B02202">
      <w:pPr>
        <w:rPr>
          <w:sz w:val="24"/>
          <w:szCs w:val="24"/>
        </w:rPr>
      </w:pPr>
      <w:r>
        <w:rPr>
          <w:sz w:val="24"/>
          <w:szCs w:val="24"/>
        </w:rPr>
        <w:t>RBK.70</w:t>
      </w:r>
      <w:r w:rsidR="001E197D">
        <w:rPr>
          <w:sz w:val="24"/>
          <w:szCs w:val="24"/>
        </w:rPr>
        <w:t>3</w:t>
      </w:r>
      <w:r>
        <w:rPr>
          <w:sz w:val="24"/>
          <w:szCs w:val="24"/>
        </w:rPr>
        <w:t>1.</w:t>
      </w:r>
      <w:r w:rsidR="001E197D">
        <w:rPr>
          <w:sz w:val="24"/>
          <w:szCs w:val="24"/>
        </w:rPr>
        <w:t>58</w:t>
      </w:r>
      <w:r>
        <w:rPr>
          <w:sz w:val="24"/>
          <w:szCs w:val="24"/>
        </w:rPr>
        <w:t>.2018</w:t>
      </w:r>
    </w:p>
    <w:p w:rsidR="00B5402F" w:rsidRPr="00EC60A0" w:rsidRDefault="00F637EF" w:rsidP="00F637EF">
      <w:pPr>
        <w:rPr>
          <w:sz w:val="24"/>
          <w:szCs w:val="24"/>
        </w:rPr>
      </w:pPr>
      <w:r>
        <w:tab/>
      </w:r>
      <w:r>
        <w:tab/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</w:t>
      </w:r>
      <w:proofErr w:type="gramEnd"/>
      <w:r>
        <w:rPr>
          <w:rFonts w:ascii="Times New Roman" w:hAnsi="Times New Roman"/>
          <w:b/>
        </w:rPr>
        <w:t xml:space="preserve">                                                                                         ………………..,dnia………</w:t>
      </w:r>
    </w:p>
    <w:p w:rsidR="007C21B2" w:rsidRPr="00196488" w:rsidRDefault="007C21B2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7C21B2" w:rsidRPr="00196488" w:rsidRDefault="007C21B2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7C21B2" w:rsidRDefault="007C21B2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7C21B2" w:rsidRPr="00196488" w:rsidRDefault="007C21B2" w:rsidP="007936D6">
      <w:pPr>
        <w:spacing w:after="0"/>
        <w:rPr>
          <w:rFonts w:ascii="Times New Roman" w:hAnsi="Times New Roman"/>
          <w:u w:val="single"/>
        </w:rPr>
      </w:pPr>
    </w:p>
    <w:p w:rsidR="007C21B2" w:rsidRPr="00196488" w:rsidRDefault="007C21B2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7C21B2" w:rsidRPr="00196488" w:rsidRDefault="007C21B2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7C21B2" w:rsidRPr="00196488" w:rsidRDefault="007C21B2" w:rsidP="00C4103F">
      <w:pPr>
        <w:rPr>
          <w:rFonts w:ascii="Times New Roman" w:hAnsi="Times New Roman"/>
        </w:rPr>
      </w:pPr>
    </w:p>
    <w:p w:rsidR="007C21B2" w:rsidRPr="00196488" w:rsidRDefault="007C21B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7C21B2" w:rsidRPr="00196488" w:rsidRDefault="007C21B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1E197D" w:rsidRPr="001E197D" w:rsidRDefault="001E197D" w:rsidP="001E197D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</w:pPr>
      <w:r w:rsidRPr="001E197D"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>„Odbieranie, transport i zagospodarowanie odpadów komunalnych z terenu Gminy Mrągowo od właścicieli nieruchomości zamieszkałych i niezamieszkałych w 2019 roku”</w:t>
      </w:r>
    </w:p>
    <w:p w:rsidR="001674A2" w:rsidRDefault="001674A2" w:rsidP="001674A2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7C21B2" w:rsidRDefault="007C21B2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Pr="00196488" w:rsidRDefault="007C21B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7C21B2" w:rsidRPr="00196488" w:rsidRDefault="007C21B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7C21B2" w:rsidRPr="00196488" w:rsidRDefault="007C21B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pkt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7C21B2" w:rsidRPr="00196488" w:rsidRDefault="007C21B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r w:rsidRPr="00832504">
        <w:rPr>
          <w:rFonts w:ascii="Times New Roman" w:hAnsi="Times New Roman"/>
        </w:rPr>
        <w:t>pkt 1, 2, 4 i 8</w:t>
      </w:r>
      <w:r w:rsidRPr="004F4286">
        <w:rPr>
          <w:rFonts w:ascii="Times New Roman" w:hAnsi="Times New Roman"/>
        </w:rPr>
        <w:t xml:space="preserve"> ustawy </w:t>
      </w:r>
      <w:proofErr w:type="spellStart"/>
      <w:proofErr w:type="gramStart"/>
      <w:r w:rsidRPr="004F4286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  <w:proofErr w:type="gramEnd"/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>dnia ……</w:t>
      </w:r>
      <w:proofErr w:type="gramStart"/>
      <w:r w:rsidRPr="00196488">
        <w:rPr>
          <w:rFonts w:ascii="Times New Roman" w:hAnsi="Times New Roman"/>
        </w:rPr>
        <w:t>…….</w:t>
      </w:r>
      <w:proofErr w:type="gramEnd"/>
      <w:r w:rsidRPr="00196488">
        <w:rPr>
          <w:rFonts w:ascii="Times New Roman" w:hAnsi="Times New Roman"/>
        </w:rPr>
        <w:t xml:space="preserve">……. r. 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>
        <w:rPr>
          <w:rFonts w:ascii="Times New Roman" w:hAnsi="Times New Roman"/>
          <w:i/>
        </w:rPr>
        <w:t xml:space="preserve"> </w:t>
      </w:r>
      <w:r w:rsidRPr="00832504">
        <w:rPr>
          <w:rFonts w:ascii="Times New Roman" w:hAnsi="Times New Roman"/>
          <w:i/>
        </w:rPr>
        <w:t xml:space="preserve">pkt 1, 2, 4 i </w:t>
      </w:r>
      <w:r w:rsidRPr="00A81954">
        <w:rPr>
          <w:rFonts w:ascii="Times New Roman" w:hAnsi="Times New Roman"/>
          <w:i/>
        </w:rPr>
        <w:t>8</w:t>
      </w:r>
      <w:r w:rsidRPr="00196488">
        <w:rPr>
          <w:rFonts w:ascii="Times New Roman" w:hAnsi="Times New Roman"/>
          <w:i/>
        </w:rPr>
        <w:t xml:space="preserve">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7C21B2" w:rsidRPr="00196488" w:rsidRDefault="007C21B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</w:t>
      </w:r>
      <w:proofErr w:type="gramStart"/>
      <w:r w:rsidRPr="00196488"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lastRenderedPageBreak/>
        <w:t>(podpis)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pkt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 ………………………………………………………………</w:t>
      </w:r>
      <w:proofErr w:type="gramStart"/>
      <w:r w:rsidRPr="00196488">
        <w:rPr>
          <w:rFonts w:ascii="Times New Roman" w:hAnsi="Times New Roman"/>
        </w:rPr>
        <w:t>…….</w:t>
      </w:r>
      <w:proofErr w:type="gramEnd"/>
      <w:r w:rsidRPr="00196488">
        <w:rPr>
          <w:rFonts w:ascii="Times New Roman" w:hAnsi="Times New Roman"/>
        </w:rPr>
        <w:t xml:space="preserve">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7C21B2" w:rsidRPr="00196488" w:rsidRDefault="007C21B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hAnsi="Arial Narrow"/>
          <w:sz w:val="16"/>
          <w:szCs w:val="16"/>
          <w:lang w:eastAsia="pl-PL"/>
        </w:rPr>
        <w:t>. zm.5)) lub art. 46 lub art. 48 ustawy z dnia 25 czerwca 2010 r. o sporcie (Dz. U. z 2016 r. poz. 176),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skarbowe,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lastRenderedPageBreak/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stosunku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który w sposób zawiniony poważnie naruszył obowiązki zawodowe, co podważa jego uczciwość, w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szczególności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gdy wykonawca w wyniku zamierzonego działania lub rażącego niedbalstwa nie wykonał lub nienależycie wykonał zamówienie, co zamawiający jest w stanie wykazać za pomocą stosownych środków dowodowych;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7C21B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263" w:rsidRDefault="00BE4263" w:rsidP="0038231F">
      <w:pPr>
        <w:spacing w:after="0" w:line="240" w:lineRule="auto"/>
      </w:pPr>
      <w:r>
        <w:separator/>
      </w:r>
    </w:p>
  </w:endnote>
  <w:endnote w:type="continuationSeparator" w:id="0">
    <w:p w:rsidR="00BE4263" w:rsidRDefault="00BE42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1B2" w:rsidRPr="0027560C" w:rsidRDefault="007D49C3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7C21B2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674A2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7C21B2" w:rsidRDefault="007C21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263" w:rsidRDefault="00BE4263" w:rsidP="0038231F">
      <w:pPr>
        <w:spacing w:after="0" w:line="240" w:lineRule="auto"/>
      </w:pPr>
      <w:r>
        <w:separator/>
      </w:r>
    </w:p>
  </w:footnote>
  <w:footnote w:type="continuationSeparator" w:id="0">
    <w:p w:rsidR="00BE4263" w:rsidRDefault="00BE42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2CD"/>
    <w:rsid w:val="00012E4C"/>
    <w:rsid w:val="000213AB"/>
    <w:rsid w:val="000613EB"/>
    <w:rsid w:val="000747CC"/>
    <w:rsid w:val="000809B6"/>
    <w:rsid w:val="00080A0E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154FE"/>
    <w:rsid w:val="001448FB"/>
    <w:rsid w:val="001670F2"/>
    <w:rsid w:val="001674A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97D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95ACC"/>
    <w:rsid w:val="002C3E6B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03D8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4584"/>
    <w:rsid w:val="003D560E"/>
    <w:rsid w:val="003D7458"/>
    <w:rsid w:val="003D7B59"/>
    <w:rsid w:val="003E0F85"/>
    <w:rsid w:val="003E1710"/>
    <w:rsid w:val="003F024C"/>
    <w:rsid w:val="0040539B"/>
    <w:rsid w:val="00434CC2"/>
    <w:rsid w:val="00446336"/>
    <w:rsid w:val="00462263"/>
    <w:rsid w:val="00466838"/>
    <w:rsid w:val="004761C6"/>
    <w:rsid w:val="00477398"/>
    <w:rsid w:val="00484F88"/>
    <w:rsid w:val="004951BC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43F50"/>
    <w:rsid w:val="00550A45"/>
    <w:rsid w:val="00555C93"/>
    <w:rsid w:val="005641F0"/>
    <w:rsid w:val="00587C5F"/>
    <w:rsid w:val="00592AD2"/>
    <w:rsid w:val="005A73FB"/>
    <w:rsid w:val="005B0F98"/>
    <w:rsid w:val="005D018F"/>
    <w:rsid w:val="005E176A"/>
    <w:rsid w:val="005E37EF"/>
    <w:rsid w:val="006017B1"/>
    <w:rsid w:val="00642066"/>
    <w:rsid w:val="006440B0"/>
    <w:rsid w:val="0064500B"/>
    <w:rsid w:val="006508CF"/>
    <w:rsid w:val="0066486B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01BF5"/>
    <w:rsid w:val="007118F0"/>
    <w:rsid w:val="00711BE2"/>
    <w:rsid w:val="00746532"/>
    <w:rsid w:val="0078081A"/>
    <w:rsid w:val="007840F2"/>
    <w:rsid w:val="007936D6"/>
    <w:rsid w:val="00794CF7"/>
    <w:rsid w:val="0079713A"/>
    <w:rsid w:val="007B1F5C"/>
    <w:rsid w:val="007C21B2"/>
    <w:rsid w:val="007D49C3"/>
    <w:rsid w:val="007E25BD"/>
    <w:rsid w:val="007E2F69"/>
    <w:rsid w:val="008049D4"/>
    <w:rsid w:val="00804F07"/>
    <w:rsid w:val="00830AB1"/>
    <w:rsid w:val="00832504"/>
    <w:rsid w:val="008473DE"/>
    <w:rsid w:val="008531D0"/>
    <w:rsid w:val="008560CF"/>
    <w:rsid w:val="00874044"/>
    <w:rsid w:val="00875011"/>
    <w:rsid w:val="00892E48"/>
    <w:rsid w:val="008A0626"/>
    <w:rsid w:val="008A2471"/>
    <w:rsid w:val="008A5BE7"/>
    <w:rsid w:val="008B66AF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91E5E"/>
    <w:rsid w:val="009A397D"/>
    <w:rsid w:val="009C0C6C"/>
    <w:rsid w:val="009C6DDE"/>
    <w:rsid w:val="009D0270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12FC"/>
    <w:rsid w:val="00A4167D"/>
    <w:rsid w:val="00A47C18"/>
    <w:rsid w:val="00A50DDF"/>
    <w:rsid w:val="00A56074"/>
    <w:rsid w:val="00A56607"/>
    <w:rsid w:val="00A62798"/>
    <w:rsid w:val="00A670AF"/>
    <w:rsid w:val="00A6766E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02202"/>
    <w:rsid w:val="00B119F4"/>
    <w:rsid w:val="00B15219"/>
    <w:rsid w:val="00B154B4"/>
    <w:rsid w:val="00B22BBE"/>
    <w:rsid w:val="00B27C31"/>
    <w:rsid w:val="00B35FDB"/>
    <w:rsid w:val="00B37134"/>
    <w:rsid w:val="00B40FC8"/>
    <w:rsid w:val="00B41453"/>
    <w:rsid w:val="00B5402F"/>
    <w:rsid w:val="00B96D94"/>
    <w:rsid w:val="00BD06C3"/>
    <w:rsid w:val="00BD5BF1"/>
    <w:rsid w:val="00BE4263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B3D99"/>
    <w:rsid w:val="00DC3F44"/>
    <w:rsid w:val="00DD146A"/>
    <w:rsid w:val="00DD3E9D"/>
    <w:rsid w:val="00DD5845"/>
    <w:rsid w:val="00DE720C"/>
    <w:rsid w:val="00DE73EE"/>
    <w:rsid w:val="00E14552"/>
    <w:rsid w:val="00E15D59"/>
    <w:rsid w:val="00E21B42"/>
    <w:rsid w:val="00E30517"/>
    <w:rsid w:val="00E42CC3"/>
    <w:rsid w:val="00E54170"/>
    <w:rsid w:val="00E55512"/>
    <w:rsid w:val="00E7459E"/>
    <w:rsid w:val="00E86A2B"/>
    <w:rsid w:val="00EA60E2"/>
    <w:rsid w:val="00EA74CD"/>
    <w:rsid w:val="00EA7608"/>
    <w:rsid w:val="00EB3286"/>
    <w:rsid w:val="00EC60A0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637E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67542"/>
  <w15:docId w15:val="{CD13F0A4-70C8-4B84-BDC1-57A7C6CB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1348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Tomasz Mularczyk</cp:lastModifiedBy>
  <cp:revision>4</cp:revision>
  <cp:lastPrinted>2016-11-23T07:33:00Z</cp:lastPrinted>
  <dcterms:created xsi:type="dcterms:W3CDTF">2018-10-07T20:45:00Z</dcterms:created>
  <dcterms:modified xsi:type="dcterms:W3CDTF">2018-10-07T21:00:00Z</dcterms:modified>
</cp:coreProperties>
</file>