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5F" w:rsidRDefault="00C6555F">
      <w:pPr>
        <w:rPr>
          <w:sz w:val="23"/>
          <w:szCs w:val="23"/>
        </w:rPr>
      </w:pPr>
    </w:p>
    <w:p w:rsidR="00C6555F" w:rsidRDefault="003B2EAA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-149840</wp:posOffset>
                </wp:positionH>
                <wp:positionV relativeFrom="paragraph">
                  <wp:posOffset>144780</wp:posOffset>
                </wp:positionV>
                <wp:extent cx="6403340" cy="6411311"/>
                <wp:effectExtent l="0" t="0" r="0" b="0"/>
                <wp:wrapNone/>
                <wp:docPr id="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3340" cy="64113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B2EAA" w:rsidRDefault="003B2EAA" w:rsidP="00E80D16">
                            <w:pPr>
                              <w:spacing w:before="240"/>
                              <w:ind w:left="-142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</w:pPr>
                          </w:p>
                          <w:p w:rsidR="00E80D16" w:rsidRPr="002E2B94" w:rsidRDefault="009D492F" w:rsidP="0095436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</w:pPr>
                            <w:r w:rsidRPr="00AB7323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Podsumowanie</w:t>
                            </w:r>
                            <w:r w:rsidR="0080241C" w:rsidRPr="00AB7323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 </w:t>
                            </w:r>
                            <w:r w:rsidR="00E5255C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s</w:t>
                            </w:r>
                            <w:r w:rsidR="006B3118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trategicznej </w:t>
                            </w:r>
                            <w:r w:rsidR="00E5255C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o</w:t>
                            </w:r>
                            <w:r w:rsidR="006B3118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ceny </w:t>
                            </w:r>
                            <w:r w:rsidR="00E5255C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o</w:t>
                            </w:r>
                            <w:r w:rsidR="006B3118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ddziaływania na </w:t>
                            </w:r>
                            <w:r w:rsidR="00E5255C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ś</w:t>
                            </w:r>
                            <w:r w:rsidR="006B3118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rodowisko </w:t>
                            </w:r>
                            <w:r w:rsidR="00E80D16" w:rsidRPr="002E2B94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Program</w:t>
                            </w:r>
                            <w:r w:rsidR="00853037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u</w:t>
                            </w:r>
                            <w:r w:rsidR="00E80D16" w:rsidRPr="002E2B94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 </w:t>
                            </w:r>
                            <w:r w:rsidR="0095436E" w:rsidRPr="0095436E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Ochrony Środowiska </w:t>
                            </w:r>
                            <w:r w:rsidR="000E692B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br/>
                            </w:r>
                            <w:r w:rsidR="000E692B" w:rsidRPr="000E692B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dla Gminy </w:t>
                            </w:r>
                            <w:r w:rsidR="00A76A09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>Mrągowo</w:t>
                            </w:r>
                            <w:r w:rsidR="005C2771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56"/>
                              </w:rPr>
                              <w:t xml:space="preserve"> do roku 2020</w:t>
                            </w:r>
                          </w:p>
                          <w:p w:rsidR="0047696C" w:rsidRDefault="00AB7323" w:rsidP="0080241C">
                            <w:pPr>
                              <w:spacing w:before="240" w:after="12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</w:pPr>
                            <w:r w:rsidRPr="006B3118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>w</w:t>
                            </w:r>
                            <w:r w:rsidR="0047696C" w:rsidRPr="006B3118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>raz z uzasadnieniem zawierając</w:t>
                            </w:r>
                            <w:r w:rsidR="006B3118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>ym</w:t>
                            </w:r>
                            <w:r w:rsidR="0047696C" w:rsidRPr="006B3118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 xml:space="preserve"> informacje o udziale społeczeństwa w</w:t>
                            </w:r>
                            <w:r w:rsidR="000A4E4E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> </w:t>
                            </w:r>
                            <w:r w:rsidR="0047696C" w:rsidRPr="006B3118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  <w:t>postępowaniu oraz o tym, w jaki sposób zostały wzięte pod uwagę i w jakim zakresie zostały uwzględnione uwagi i wnioski zgłoszone w związku z udziałem społeczeństwa</w:t>
                            </w:r>
                          </w:p>
                          <w:p w:rsidR="00F132A0" w:rsidRDefault="00F132A0" w:rsidP="0080241C">
                            <w:pPr>
                              <w:spacing w:before="240" w:after="12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</w:pPr>
                          </w:p>
                          <w:p w:rsidR="0037010D" w:rsidRDefault="0037010D" w:rsidP="0080241C">
                            <w:pPr>
                              <w:spacing w:before="240" w:after="12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</w:pPr>
                          </w:p>
                          <w:p w:rsidR="0037010D" w:rsidRPr="006B3118" w:rsidRDefault="0037010D" w:rsidP="0080241C">
                            <w:pPr>
                              <w:spacing w:before="240" w:after="12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56"/>
                              </w:rPr>
                            </w:pPr>
                          </w:p>
                          <w:p w:rsidR="0080241C" w:rsidRPr="00FC3CA6" w:rsidRDefault="0080241C" w:rsidP="008024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</w:p>
                          <w:p w:rsidR="0080241C" w:rsidRDefault="0080241C" w:rsidP="0080241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1.8pt;margin-top:11.4pt;width:504.2pt;height:5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" filled="f" stroked="f">
                <v:textbox>
                  <w:txbxContent>
                    <w:p w:rsidR="003B2EAA" w:rsidRDefault="003B2EAA" w:rsidP="00E80D16">
                      <w:pPr>
                        <w:spacing w:before="240"/>
                        <w:ind w:left="-142"/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</w:pPr>
                    </w:p>
                    <w:p w:rsidR="00E80D16" w:rsidRPr="002E2B94" w:rsidRDefault="009D492F" w:rsidP="0095436E">
                      <w:pPr>
                        <w:spacing w:before="240"/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</w:pPr>
                      <w:r w:rsidRPr="00AB7323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Podsumowanie</w:t>
                      </w:r>
                      <w:r w:rsidR="0080241C" w:rsidRPr="00AB7323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 </w:t>
                      </w:r>
                      <w:r w:rsidR="00E5255C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s</w:t>
                      </w:r>
                      <w:r w:rsidR="006B3118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trategicznej </w:t>
                      </w:r>
                      <w:r w:rsidR="00E5255C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o</w:t>
                      </w:r>
                      <w:r w:rsidR="006B3118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ceny </w:t>
                      </w:r>
                      <w:r w:rsidR="00E5255C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o</w:t>
                      </w:r>
                      <w:r w:rsidR="006B3118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ddziaływania na </w:t>
                      </w:r>
                      <w:r w:rsidR="00E5255C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ś</w:t>
                      </w:r>
                      <w:r w:rsidR="006B3118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rodowisko </w:t>
                      </w:r>
                      <w:r w:rsidR="00E80D16" w:rsidRPr="002E2B94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Program</w:t>
                      </w:r>
                      <w:r w:rsidR="00853037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u</w:t>
                      </w:r>
                      <w:r w:rsidR="00E80D16" w:rsidRPr="002E2B94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 </w:t>
                      </w:r>
                      <w:r w:rsidR="0095436E" w:rsidRPr="0095436E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Ochrony Środowiska </w:t>
                      </w:r>
                      <w:r w:rsidR="000E692B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br/>
                      </w:r>
                      <w:r w:rsidR="000E692B" w:rsidRPr="000E692B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dla Gminy </w:t>
                      </w:r>
                      <w:r w:rsidR="00A76A09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>Mrągowo</w:t>
                      </w:r>
                      <w:r w:rsidR="005C2771">
                        <w:rPr>
                          <w:b/>
                          <w:bCs/>
                          <w:color w:val="1F497D" w:themeColor="text2"/>
                          <w:sz w:val="40"/>
                          <w:szCs w:val="56"/>
                        </w:rPr>
                        <w:t xml:space="preserve"> do roku 2020</w:t>
                      </w:r>
                    </w:p>
                    <w:p w:rsidR="0047696C" w:rsidRDefault="00AB7323" w:rsidP="0080241C">
                      <w:pPr>
                        <w:spacing w:before="240" w:after="120"/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</w:pPr>
                      <w:r w:rsidRPr="006B3118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>w</w:t>
                      </w:r>
                      <w:r w:rsidR="0047696C" w:rsidRPr="006B3118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>raz z uzasadnieniem zawierając</w:t>
                      </w:r>
                      <w:r w:rsidR="006B3118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>ym</w:t>
                      </w:r>
                      <w:r w:rsidR="0047696C" w:rsidRPr="006B3118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 xml:space="preserve"> informacje o udziale społeczeństwa w</w:t>
                      </w:r>
                      <w:r w:rsidR="000A4E4E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> </w:t>
                      </w:r>
                      <w:r w:rsidR="0047696C" w:rsidRPr="006B3118"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  <w:t>postępowaniu oraz o tym, w jaki sposób zostały wzięte pod uwagę i w jakim zakresie zostały uwzględnione uwagi i wnioski zgłoszone w związku z udziałem społeczeństwa</w:t>
                      </w:r>
                    </w:p>
                    <w:p w:rsidR="00F132A0" w:rsidRDefault="00F132A0" w:rsidP="0080241C">
                      <w:pPr>
                        <w:spacing w:before="240" w:after="120"/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</w:pPr>
                    </w:p>
                    <w:p w:rsidR="0037010D" w:rsidRDefault="0037010D" w:rsidP="0080241C">
                      <w:pPr>
                        <w:spacing w:before="240" w:after="120"/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</w:pPr>
                    </w:p>
                    <w:p w:rsidR="0037010D" w:rsidRPr="006B3118" w:rsidRDefault="0037010D" w:rsidP="0080241C">
                      <w:pPr>
                        <w:spacing w:before="240" w:after="120"/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56"/>
                        </w:rPr>
                      </w:pPr>
                    </w:p>
                    <w:p w:rsidR="0080241C" w:rsidRPr="00FC3CA6" w:rsidRDefault="0080241C" w:rsidP="0080241C">
                      <w:pPr>
                        <w:spacing w:after="0"/>
                        <w:jc w:val="center"/>
                        <w:rPr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</w:pPr>
                    </w:p>
                    <w:p w:rsidR="0080241C" w:rsidRDefault="0080241C" w:rsidP="0080241C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555F">
        <w:rPr>
          <w:sz w:val="23"/>
          <w:szCs w:val="23"/>
        </w:rPr>
        <w:br w:type="page"/>
      </w:r>
    </w:p>
    <w:bookmarkStart w:id="0" w:name="_Toc458669059" w:displacedByCustomXml="next"/>
    <w:bookmarkStart w:id="1" w:name="_Toc461018168" w:displacedByCustomXml="next"/>
    <w:bookmarkStart w:id="2" w:name="_Toc461188821" w:displacedByCustomXml="next"/>
    <w:bookmarkStart w:id="3" w:name="_Toc45445850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11507304"/>
        <w:docPartObj>
          <w:docPartGallery w:val="Table of Contents"/>
          <w:docPartUnique/>
        </w:docPartObj>
      </w:sdtPr>
      <w:sdtEndPr/>
      <w:sdtContent>
        <w:p w:rsidR="009D492F" w:rsidRPr="002B166F" w:rsidRDefault="009D492F" w:rsidP="00A92DA4">
          <w:pPr>
            <w:pStyle w:val="Nagwekspisutreci"/>
            <w:spacing w:line="360" w:lineRule="auto"/>
            <w:jc w:val="both"/>
            <w:rPr>
              <w:rFonts w:asciiTheme="minorHAnsi" w:hAnsiTheme="minorHAnsi"/>
              <w:szCs w:val="24"/>
            </w:rPr>
          </w:pPr>
          <w:r w:rsidRPr="002B166F">
            <w:rPr>
              <w:rFonts w:asciiTheme="minorHAnsi" w:hAnsiTheme="minorHAnsi"/>
              <w:szCs w:val="24"/>
            </w:rPr>
            <w:t>Spis treści</w:t>
          </w:r>
        </w:p>
        <w:p w:rsidR="00C71D6D" w:rsidRPr="00C71D6D" w:rsidRDefault="009D492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r w:rsidRPr="00C71D6D">
            <w:rPr>
              <w:sz w:val="24"/>
              <w:szCs w:val="24"/>
            </w:rPr>
            <w:fldChar w:fldCharType="begin"/>
          </w:r>
          <w:r w:rsidRPr="00C71D6D">
            <w:rPr>
              <w:sz w:val="24"/>
              <w:szCs w:val="24"/>
            </w:rPr>
            <w:instrText xml:space="preserve"> TOC \o "1-3" \h \z \u </w:instrText>
          </w:r>
          <w:r w:rsidRPr="00C71D6D">
            <w:rPr>
              <w:sz w:val="24"/>
              <w:szCs w:val="24"/>
            </w:rPr>
            <w:fldChar w:fldCharType="separate"/>
          </w:r>
          <w:hyperlink w:anchor="_Toc483904006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1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Podstawa prawna opracowania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_Toc483904006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3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07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2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 xml:space="preserve">Ustalenia zawarte w </w:t>
            </w:r>
            <w:r w:rsidR="00C71D6D" w:rsidRPr="00C71D6D">
              <w:rPr>
                <w:rStyle w:val="Hipercze"/>
                <w:i/>
                <w:noProof/>
                <w:sz w:val="24"/>
                <w:szCs w:val="24"/>
              </w:rPr>
              <w:t>Prognozie oddziaływania na środowisko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_Toc483904007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3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08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3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Opiniowanie przez właściwe organy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_Toc483904008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4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09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4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Uzasadnienie zawierające informacje o udziale społeczeństwa w postępowaniu oraz o tym, w jaki sposób zostały wzięte pod uwagę i w jakim zakresie zostały uwzględnione uwagi i</w:t>
            </w:r>
            <w:r w:rsidR="00C71D6D">
              <w:rPr>
                <w:rStyle w:val="Hipercze"/>
                <w:noProof/>
                <w:sz w:val="24"/>
                <w:szCs w:val="24"/>
              </w:rPr>
              <w:t> </w:t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wnioski zgłoszone w związku z udziałem społeczeństwa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_Toc483904009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15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10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5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Informacja o przewidywanym oddziaływaniu transgranicznym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_Toc483904010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15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11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6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Metody i częstotliwość przeprowadzania monitoringu skutków realizacji postanowień dokumentu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_Toc483904011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15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D6D" w:rsidRPr="00C71D6D" w:rsidRDefault="00A204CF" w:rsidP="00C71D6D">
          <w:pPr>
            <w:pStyle w:val="Spistreci1"/>
            <w:tabs>
              <w:tab w:val="left" w:pos="440"/>
              <w:tab w:val="right" w:leader="dot" w:pos="906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483904012" w:history="1">
            <w:r w:rsidR="00C71D6D" w:rsidRPr="00C71D6D">
              <w:rPr>
                <w:rStyle w:val="Hipercze"/>
                <w:noProof/>
                <w:sz w:val="24"/>
                <w:szCs w:val="24"/>
              </w:rPr>
              <w:t>7</w:t>
            </w:r>
            <w:r w:rsidR="00C71D6D" w:rsidRPr="00C71D6D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C71D6D" w:rsidRPr="00C71D6D">
              <w:rPr>
                <w:rStyle w:val="Hipercze"/>
                <w:noProof/>
                <w:sz w:val="24"/>
                <w:szCs w:val="24"/>
              </w:rPr>
              <w:t>Uzasadnienie wyboru przyjętego dokumentu w odniesieniu do rozpatrywanych rozwiązań alternatywnych</w:t>
            </w:r>
            <w:r w:rsidR="00C71D6D" w:rsidRPr="00C71D6D">
              <w:rPr>
                <w:noProof/>
                <w:webHidden/>
                <w:sz w:val="24"/>
                <w:szCs w:val="24"/>
              </w:rPr>
              <w:tab/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begin"/>
            </w:r>
            <w:r w:rsidR="00C71D6D" w:rsidRPr="00C71D6D">
              <w:rPr>
                <w:noProof/>
                <w:webHidden/>
                <w:sz w:val="24"/>
                <w:szCs w:val="24"/>
              </w:rPr>
              <w:instrText xml:space="preserve"> PAGEREF _Toc483904012 \h </w:instrText>
            </w:r>
            <w:r w:rsidR="00C71D6D" w:rsidRPr="00C71D6D">
              <w:rPr>
                <w:noProof/>
                <w:webHidden/>
                <w:sz w:val="24"/>
                <w:szCs w:val="24"/>
              </w:rPr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10C7">
              <w:rPr>
                <w:noProof/>
                <w:webHidden/>
                <w:sz w:val="24"/>
                <w:szCs w:val="24"/>
              </w:rPr>
              <w:t>16</w:t>
            </w:r>
            <w:r w:rsidR="00C71D6D" w:rsidRPr="00C71D6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492F" w:rsidRDefault="009D492F" w:rsidP="00C71D6D">
          <w:pPr>
            <w:spacing w:line="360" w:lineRule="auto"/>
            <w:jc w:val="both"/>
          </w:pPr>
          <w:r w:rsidRPr="00C71D6D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9D492F" w:rsidRDefault="009D492F">
      <w:pPr>
        <w:rPr>
          <w:rFonts w:ascii="Calibri" w:eastAsia="Times New Roman" w:hAnsi="Calibri"/>
          <w:b/>
          <w:bCs/>
          <w:color w:val="1F497D"/>
          <w:sz w:val="32"/>
          <w:szCs w:val="28"/>
          <w:lang w:val="x-none" w:eastAsia="x-none"/>
        </w:rPr>
      </w:pPr>
      <w:r>
        <w:br w:type="page"/>
      </w:r>
    </w:p>
    <w:p w:rsidR="00D2728B" w:rsidRPr="00D73059" w:rsidRDefault="00D2728B" w:rsidP="00F40AFF">
      <w:pPr>
        <w:pStyle w:val="Nagwek1"/>
      </w:pPr>
      <w:bookmarkStart w:id="4" w:name="_Toc483904006"/>
      <w:r>
        <w:lastRenderedPageBreak/>
        <w:t xml:space="preserve">Podstawa </w:t>
      </w:r>
      <w:r w:rsidRPr="00F40AFF">
        <w:t>prawna</w:t>
      </w:r>
      <w:r>
        <w:t xml:space="preserve"> opracowania</w:t>
      </w:r>
      <w:bookmarkEnd w:id="2"/>
      <w:bookmarkEnd w:id="1"/>
      <w:bookmarkEnd w:id="0"/>
      <w:bookmarkEnd w:id="4"/>
    </w:p>
    <w:p w:rsidR="00D2728B" w:rsidRDefault="00D2728B" w:rsidP="0095436E">
      <w:pPr>
        <w:pStyle w:val="Akapit"/>
        <w:rPr>
          <w:rStyle w:val="BezodstpwZnak"/>
        </w:rPr>
      </w:pPr>
      <w:r w:rsidRPr="001B4374">
        <w:t xml:space="preserve">Podstawą </w:t>
      </w:r>
      <w:r w:rsidRPr="008E1CF8">
        <w:t xml:space="preserve">prawną </w:t>
      </w:r>
      <w:r w:rsidR="000C0EEA">
        <w:t>opracowania</w:t>
      </w:r>
      <w:r w:rsidR="000C0EEA" w:rsidRPr="008E1CF8">
        <w:t xml:space="preserve"> </w:t>
      </w:r>
      <w:r w:rsidRPr="00A92DA4">
        <w:rPr>
          <w:i/>
          <w:iCs/>
        </w:rPr>
        <w:t>Podsumowania</w:t>
      </w:r>
      <w:r w:rsidR="00DC3BA4" w:rsidRPr="00A92DA4">
        <w:rPr>
          <w:i/>
        </w:rPr>
        <w:t xml:space="preserve"> </w:t>
      </w:r>
      <w:r w:rsidR="00E5255C" w:rsidRPr="00A92DA4">
        <w:rPr>
          <w:i/>
        </w:rPr>
        <w:t>s</w:t>
      </w:r>
      <w:r w:rsidR="00E816FB" w:rsidRPr="00A92DA4">
        <w:rPr>
          <w:i/>
        </w:rPr>
        <w:t xml:space="preserve">trategicznej </w:t>
      </w:r>
      <w:r w:rsidR="00E5255C" w:rsidRPr="00A92DA4">
        <w:rPr>
          <w:i/>
        </w:rPr>
        <w:t>o</w:t>
      </w:r>
      <w:r w:rsidR="00E816FB" w:rsidRPr="00A92DA4">
        <w:rPr>
          <w:i/>
        </w:rPr>
        <w:t xml:space="preserve">ceny </w:t>
      </w:r>
      <w:r w:rsidR="00E5255C" w:rsidRPr="00A92DA4">
        <w:rPr>
          <w:i/>
        </w:rPr>
        <w:t>o</w:t>
      </w:r>
      <w:r w:rsidR="00E816FB" w:rsidRPr="00A92DA4">
        <w:rPr>
          <w:i/>
        </w:rPr>
        <w:t xml:space="preserve">ddziaływania na </w:t>
      </w:r>
      <w:r w:rsidR="00395DAF">
        <w:rPr>
          <w:i/>
        </w:rPr>
        <w:t>ś</w:t>
      </w:r>
      <w:r w:rsidR="00E816FB" w:rsidRPr="00A92DA4">
        <w:rPr>
          <w:i/>
        </w:rPr>
        <w:t xml:space="preserve">rodowisko </w:t>
      </w:r>
      <w:r w:rsidR="00F35E08" w:rsidRPr="00A92DA4">
        <w:rPr>
          <w:bCs/>
          <w:i/>
          <w:iCs/>
        </w:rPr>
        <w:t xml:space="preserve">Programu Ochrony Środowiska </w:t>
      </w:r>
      <w:r w:rsidR="00F92768" w:rsidRPr="002F64EA">
        <w:rPr>
          <w:bCs/>
          <w:i/>
          <w:iCs/>
        </w:rPr>
        <w:t xml:space="preserve">dla Gminy </w:t>
      </w:r>
      <w:r w:rsidR="00A76A09">
        <w:rPr>
          <w:bCs/>
          <w:i/>
          <w:iCs/>
        </w:rPr>
        <w:t xml:space="preserve">Mrągowo </w:t>
      </w:r>
      <w:r w:rsidR="005C2771">
        <w:rPr>
          <w:bCs/>
          <w:i/>
          <w:iCs/>
        </w:rPr>
        <w:t>do roku 2020</w:t>
      </w:r>
      <w:r w:rsidR="0095436E">
        <w:rPr>
          <w:bCs/>
          <w:i/>
          <w:iCs/>
        </w:rPr>
        <w:t xml:space="preserve"> </w:t>
      </w:r>
      <w:r w:rsidRPr="008E1CF8">
        <w:t>jest ustaw</w:t>
      </w:r>
      <w:r w:rsidR="002B3A53">
        <w:t>a</w:t>
      </w:r>
      <w:r w:rsidRPr="008E1CF8">
        <w:t xml:space="preserve"> </w:t>
      </w:r>
      <w:r w:rsidR="00F20ECE" w:rsidRPr="008E1CF8">
        <w:t>z</w:t>
      </w:r>
      <w:r w:rsidR="00F20ECE">
        <w:t> </w:t>
      </w:r>
      <w:r w:rsidRPr="008E1CF8">
        <w:t>dnia 3</w:t>
      </w:r>
      <w:r w:rsidR="00324A50">
        <w:t> </w:t>
      </w:r>
      <w:r w:rsidRPr="008E1CF8">
        <w:t xml:space="preserve">października z 2008 r. </w:t>
      </w:r>
      <w:r w:rsidRPr="008E1CF8">
        <w:rPr>
          <w:i/>
        </w:rPr>
        <w:t>o udostępnianiu informacji o środowisku i jego ochronie, udziale społeczeństwa w ochronie środowiska oraz o</w:t>
      </w:r>
      <w:r w:rsidR="00DC3BA4">
        <w:rPr>
          <w:i/>
        </w:rPr>
        <w:t> </w:t>
      </w:r>
      <w:r w:rsidRPr="008E1CF8">
        <w:rPr>
          <w:i/>
        </w:rPr>
        <w:t>oce</w:t>
      </w:r>
      <w:r w:rsidRPr="008E1CF8">
        <w:rPr>
          <w:rStyle w:val="BezodstpwZnak"/>
          <w:i/>
        </w:rPr>
        <w:t>nach oddziaływania na środowisko</w:t>
      </w:r>
      <w:r w:rsidRPr="008E1CF8">
        <w:rPr>
          <w:rStyle w:val="BezodstpwZnak"/>
        </w:rPr>
        <w:t xml:space="preserve"> (Dz. U.</w:t>
      </w:r>
      <w:r w:rsidR="002B3A53">
        <w:rPr>
          <w:rStyle w:val="BezodstpwZnak"/>
        </w:rPr>
        <w:t xml:space="preserve"> z 201</w:t>
      </w:r>
      <w:r w:rsidR="00EF147A">
        <w:rPr>
          <w:rStyle w:val="BezodstpwZnak"/>
        </w:rPr>
        <w:t>7 r. poz. 1405</w:t>
      </w:r>
      <w:r w:rsidR="002B3A53">
        <w:rPr>
          <w:rStyle w:val="BezodstpwZnak"/>
        </w:rPr>
        <w:t>).</w:t>
      </w:r>
    </w:p>
    <w:p w:rsidR="002B3A53" w:rsidRDefault="002B3A53" w:rsidP="002B3A53">
      <w:pPr>
        <w:pStyle w:val="Akapit"/>
        <w:ind w:firstLine="0"/>
      </w:pPr>
      <w:r>
        <w:t xml:space="preserve">Obowiązek sporządzenia niniejszego dokumentu wynika z ww. ustawy </w:t>
      </w:r>
      <w:r w:rsidR="00D43506">
        <w:t>i obejmuje</w:t>
      </w:r>
      <w:r>
        <w:t xml:space="preserve">: </w:t>
      </w:r>
    </w:p>
    <w:p w:rsidR="007024E3" w:rsidRDefault="002B3A53" w:rsidP="002B3A53">
      <w:pPr>
        <w:pStyle w:val="Akapit"/>
        <w:numPr>
          <w:ilvl w:val="0"/>
          <w:numId w:val="15"/>
        </w:numPr>
      </w:pPr>
      <w:r>
        <w:t>uzasadnieni</w:t>
      </w:r>
      <w:r w:rsidR="00D23BD7">
        <w:t>e</w:t>
      </w:r>
      <w:r>
        <w:t>, o którym mowa w art. 42 pkt. 2 ustawy, zawierające informacje o udziale społeczeństwa w postępowaniu oraz o tym, w jaki sposób zostały wzięte pod uwagę i w jakim zakresie zostały uwzględnione uwagi i wnioski zgłoszone w związku z udziałem społeczeństwa;</w:t>
      </w:r>
    </w:p>
    <w:p w:rsidR="007024E3" w:rsidRDefault="002B3A53" w:rsidP="002B3A53">
      <w:pPr>
        <w:pStyle w:val="Akapit"/>
        <w:numPr>
          <w:ilvl w:val="0"/>
          <w:numId w:val="15"/>
        </w:numPr>
      </w:pPr>
      <w:r>
        <w:t>podsumowani</w:t>
      </w:r>
      <w:r w:rsidR="00D23BD7">
        <w:t>e</w:t>
      </w:r>
      <w:r>
        <w:t>, o którym mowa w art. 55 ust. 3 ustawy, zawierające uzasadnienie wyboru przyjętego dokumentu w odniesieniu do rozpatrywanych rozwiązań alternatywnych, a także informację, w jaki sposób zostały wzięte pod uwagę i w jakim z</w:t>
      </w:r>
      <w:r w:rsidR="00D23BD7">
        <w:t>akresie zostały uwzględnione:</w:t>
      </w:r>
    </w:p>
    <w:p w:rsidR="007024E3" w:rsidRDefault="002B3A53" w:rsidP="00A92DA4">
      <w:pPr>
        <w:pStyle w:val="Akapit"/>
        <w:numPr>
          <w:ilvl w:val="1"/>
          <w:numId w:val="27"/>
        </w:numPr>
      </w:pPr>
      <w:r>
        <w:t>ustalenia zawarte w prognozie oddziaływania na środowisko</w:t>
      </w:r>
      <w:r w:rsidR="007024E3">
        <w:t>,</w:t>
      </w:r>
    </w:p>
    <w:p w:rsidR="007024E3" w:rsidRDefault="002B3A53" w:rsidP="00A92DA4">
      <w:pPr>
        <w:pStyle w:val="Akapit"/>
        <w:numPr>
          <w:ilvl w:val="1"/>
          <w:numId w:val="27"/>
        </w:numPr>
      </w:pPr>
      <w:r>
        <w:t>opinie właściwych organów, o których mowa w art. 57 i 58 ustawy,</w:t>
      </w:r>
    </w:p>
    <w:p w:rsidR="007024E3" w:rsidRDefault="002B3A53" w:rsidP="00A92DA4">
      <w:pPr>
        <w:pStyle w:val="Akapit"/>
        <w:numPr>
          <w:ilvl w:val="1"/>
          <w:numId w:val="27"/>
        </w:numPr>
      </w:pPr>
      <w:r>
        <w:t xml:space="preserve">zgłoszone uwagi i wnioski, </w:t>
      </w:r>
    </w:p>
    <w:p w:rsidR="007024E3" w:rsidRDefault="002B3A53" w:rsidP="00A92DA4">
      <w:pPr>
        <w:pStyle w:val="Akapit"/>
        <w:numPr>
          <w:ilvl w:val="1"/>
          <w:numId w:val="27"/>
        </w:numPr>
      </w:pPr>
      <w:r>
        <w:t>wyniki postępowania dotyczącego transgranicznego oddziaływania na środowisko, jeż</w:t>
      </w:r>
      <w:r w:rsidR="007024E3">
        <w:t>eli zostało przeprowadzone</w:t>
      </w:r>
      <w:r w:rsidR="00D53F9D">
        <w:t>,</w:t>
      </w:r>
    </w:p>
    <w:p w:rsidR="002B3A53" w:rsidRPr="001B4374" w:rsidRDefault="002B3A53" w:rsidP="00A92DA4">
      <w:pPr>
        <w:pStyle w:val="Akapit"/>
        <w:numPr>
          <w:ilvl w:val="1"/>
          <w:numId w:val="27"/>
        </w:numPr>
      </w:pPr>
      <w:r>
        <w:t>propozycje dotyczące metod i częstotliwości przeprowadzania monitoringu skutków realizacji postanowień dokumentu.</w:t>
      </w:r>
    </w:p>
    <w:p w:rsidR="00D2728B" w:rsidRPr="001912A5" w:rsidRDefault="008441D8" w:rsidP="00F40AFF">
      <w:pPr>
        <w:pStyle w:val="Nagwek1"/>
      </w:pPr>
      <w:bookmarkStart w:id="5" w:name="_Toc483904007"/>
      <w:bookmarkEnd w:id="3"/>
      <w:r>
        <w:rPr>
          <w:lang w:val="pl-PL"/>
        </w:rPr>
        <w:t>U</w:t>
      </w:r>
      <w:proofErr w:type="spellStart"/>
      <w:r>
        <w:t>stalenia</w:t>
      </w:r>
      <w:proofErr w:type="spellEnd"/>
      <w:r w:rsidR="001912A5">
        <w:t xml:space="preserve"> zawarte w </w:t>
      </w:r>
      <w:r w:rsidR="001A48E6" w:rsidRPr="00B43ABB">
        <w:rPr>
          <w:i/>
        </w:rPr>
        <w:t>Prognozie</w:t>
      </w:r>
      <w:r w:rsidR="001912A5" w:rsidRPr="00B43ABB">
        <w:rPr>
          <w:i/>
        </w:rPr>
        <w:t xml:space="preserve"> oddziaływania na środowisko</w:t>
      </w:r>
      <w:bookmarkEnd w:id="5"/>
    </w:p>
    <w:p w:rsidR="00A03BEA" w:rsidRDefault="00A03BEA" w:rsidP="00A03BEA">
      <w:pPr>
        <w:pStyle w:val="Akapitzlist"/>
        <w:autoSpaceDE w:val="0"/>
        <w:autoSpaceDN w:val="0"/>
        <w:adjustRightInd w:val="0"/>
        <w:ind w:left="0" w:firstLine="708"/>
        <w:jc w:val="both"/>
        <w:rPr>
          <w:rStyle w:val="BezodstpwZnak"/>
          <w:rFonts w:eastAsia="Calibri"/>
        </w:rPr>
      </w:pPr>
      <w:r>
        <w:rPr>
          <w:rStyle w:val="BezodstpwZnak"/>
          <w:rFonts w:eastAsia="Calibri"/>
        </w:rPr>
        <w:t xml:space="preserve">Opracowanie </w:t>
      </w:r>
      <w:r w:rsidR="00CD7058" w:rsidRPr="006D2661">
        <w:rPr>
          <w:i/>
          <w:iCs/>
        </w:rPr>
        <w:t xml:space="preserve">Prognozy </w:t>
      </w:r>
      <w:r w:rsidR="00CD7058">
        <w:rPr>
          <w:i/>
          <w:iCs/>
        </w:rPr>
        <w:t xml:space="preserve">oddziaływania na środowisko </w:t>
      </w:r>
      <w:r w:rsidR="00594D04" w:rsidRPr="009E3E80">
        <w:rPr>
          <w:bCs/>
          <w:i/>
          <w:iCs/>
        </w:rPr>
        <w:t xml:space="preserve">Programu Ochrony Środowiska </w:t>
      </w:r>
      <w:r w:rsidR="002F64EA" w:rsidRPr="002F64EA">
        <w:rPr>
          <w:bCs/>
          <w:i/>
          <w:iCs/>
        </w:rPr>
        <w:t xml:space="preserve">dla Gminy </w:t>
      </w:r>
      <w:r w:rsidR="00072477">
        <w:rPr>
          <w:bCs/>
          <w:i/>
          <w:iCs/>
        </w:rPr>
        <w:t>Mrągowo</w:t>
      </w:r>
      <w:r w:rsidR="005C2771">
        <w:rPr>
          <w:bCs/>
          <w:i/>
          <w:iCs/>
        </w:rPr>
        <w:t xml:space="preserve"> do roku 2020</w:t>
      </w:r>
      <w:r w:rsidR="002F64EA" w:rsidRPr="002F64EA">
        <w:rPr>
          <w:bCs/>
          <w:i/>
          <w:iCs/>
        </w:rPr>
        <w:t xml:space="preserve"> </w:t>
      </w:r>
      <w:r w:rsidR="00CD7058">
        <w:rPr>
          <w:bCs/>
          <w:iCs/>
        </w:rPr>
        <w:t xml:space="preserve">(dalej </w:t>
      </w:r>
      <w:r w:rsidR="00CD7058" w:rsidRPr="00D23BD7">
        <w:rPr>
          <w:bCs/>
          <w:i/>
          <w:iCs/>
        </w:rPr>
        <w:t>Prognozy)</w:t>
      </w:r>
      <w:r>
        <w:rPr>
          <w:rStyle w:val="BezodstpwZnak"/>
          <w:rFonts w:eastAsia="Calibri"/>
        </w:rPr>
        <w:t xml:space="preserve"> było konieczne ze względu na </w:t>
      </w:r>
      <w:r w:rsidR="00A96354">
        <w:rPr>
          <w:rStyle w:val="BezodstpwZnak"/>
          <w:rFonts w:eastAsia="Calibri"/>
        </w:rPr>
        <w:t xml:space="preserve">fakt, iż niektóre z zadań ujętych w </w:t>
      </w:r>
      <w:r w:rsidR="00195777" w:rsidRPr="009E3E80">
        <w:rPr>
          <w:bCs/>
          <w:i/>
          <w:iCs/>
        </w:rPr>
        <w:t>Program</w:t>
      </w:r>
      <w:r w:rsidR="00732708">
        <w:rPr>
          <w:bCs/>
          <w:i/>
          <w:iCs/>
        </w:rPr>
        <w:t>ie</w:t>
      </w:r>
      <w:r w:rsidR="009B5B63">
        <w:rPr>
          <w:bCs/>
          <w:i/>
          <w:iCs/>
        </w:rPr>
        <w:t xml:space="preserve"> Ochrony Środowiska </w:t>
      </w:r>
      <w:r w:rsidR="000A333F" w:rsidRPr="002F64EA">
        <w:rPr>
          <w:bCs/>
          <w:i/>
          <w:iCs/>
        </w:rPr>
        <w:t xml:space="preserve">dla Gminy </w:t>
      </w:r>
      <w:r w:rsidR="00072477">
        <w:rPr>
          <w:bCs/>
          <w:i/>
          <w:iCs/>
        </w:rPr>
        <w:t xml:space="preserve">Mrągowo </w:t>
      </w:r>
      <w:r w:rsidR="000A333F">
        <w:rPr>
          <w:bCs/>
          <w:i/>
          <w:iCs/>
        </w:rPr>
        <w:t>do roku 2020</w:t>
      </w:r>
      <w:r w:rsidR="000A333F" w:rsidRPr="002F64EA">
        <w:rPr>
          <w:bCs/>
          <w:i/>
          <w:iCs/>
        </w:rPr>
        <w:t xml:space="preserve"> </w:t>
      </w:r>
      <w:r w:rsidR="00A96354">
        <w:rPr>
          <w:bCs/>
          <w:iCs/>
        </w:rPr>
        <w:t xml:space="preserve">(dalej </w:t>
      </w:r>
      <w:r w:rsidR="00A96354" w:rsidRPr="00A96354">
        <w:rPr>
          <w:bCs/>
          <w:i/>
          <w:iCs/>
        </w:rPr>
        <w:t>Programie</w:t>
      </w:r>
      <w:r w:rsidR="00A96354">
        <w:rPr>
          <w:bCs/>
          <w:iCs/>
        </w:rPr>
        <w:t xml:space="preserve">) </w:t>
      </w:r>
      <w:r w:rsidR="00EF4E51">
        <w:rPr>
          <w:rStyle w:val="BezodstpwZnak"/>
          <w:rFonts w:eastAsia="Calibri"/>
        </w:rPr>
        <w:t>znajdują się w</w:t>
      </w:r>
      <w:r w:rsidR="000A4E4E">
        <w:rPr>
          <w:rStyle w:val="BezodstpwZnak"/>
          <w:rFonts w:eastAsia="Calibri"/>
        </w:rPr>
        <w:t> </w:t>
      </w:r>
      <w:r w:rsidR="00EF4E51">
        <w:rPr>
          <w:rStyle w:val="BezodstpwZnak"/>
          <w:rFonts w:eastAsia="Calibri"/>
        </w:rPr>
        <w:t>katalogu p</w:t>
      </w:r>
      <w:r>
        <w:rPr>
          <w:rStyle w:val="BezodstpwZnak"/>
          <w:rFonts w:eastAsia="Calibri"/>
        </w:rPr>
        <w:t xml:space="preserve">rzedsięwzięć </w:t>
      </w:r>
      <w:r>
        <w:t xml:space="preserve">mogących </w:t>
      </w:r>
      <w:r w:rsidR="002D1FDD">
        <w:t xml:space="preserve">potencjalnie </w:t>
      </w:r>
      <w:r w:rsidR="00EF4E51">
        <w:t>znacząco oddziaływać na środowisko.</w:t>
      </w:r>
    </w:p>
    <w:p w:rsidR="00EB0373" w:rsidRDefault="00FB0E43" w:rsidP="001912A5">
      <w:pPr>
        <w:pStyle w:val="Akapitzlist"/>
        <w:autoSpaceDE w:val="0"/>
        <w:autoSpaceDN w:val="0"/>
        <w:adjustRightInd w:val="0"/>
        <w:ind w:left="0" w:firstLine="708"/>
        <w:jc w:val="both"/>
        <w:rPr>
          <w:rStyle w:val="BezodstpwZnak"/>
          <w:rFonts w:eastAsia="Calibri"/>
        </w:rPr>
      </w:pPr>
      <w:r w:rsidRPr="00A03BEA">
        <w:rPr>
          <w:rStyle w:val="BezodstpwZnak"/>
          <w:rFonts w:eastAsia="Calibri"/>
          <w:i/>
        </w:rPr>
        <w:t xml:space="preserve">Prognoza </w:t>
      </w:r>
      <w:r>
        <w:rPr>
          <w:rStyle w:val="BezodstpwZnak"/>
          <w:rFonts w:eastAsia="Calibri"/>
        </w:rPr>
        <w:t xml:space="preserve">zawiera informacje dotyczące </w:t>
      </w:r>
      <w:r w:rsidR="0045567B">
        <w:rPr>
          <w:rStyle w:val="BezodstpwZnak"/>
          <w:rFonts w:eastAsia="Calibri"/>
        </w:rPr>
        <w:t>uwarunkowań środowiskowych teren</w:t>
      </w:r>
      <w:r w:rsidR="000A4E4E">
        <w:rPr>
          <w:rStyle w:val="BezodstpwZnak"/>
          <w:rFonts w:eastAsia="Calibri"/>
        </w:rPr>
        <w:t>u</w:t>
      </w:r>
      <w:r w:rsidR="00EB0373">
        <w:rPr>
          <w:rStyle w:val="BezodstpwZnak"/>
          <w:rFonts w:eastAsia="Calibri"/>
        </w:rPr>
        <w:t xml:space="preserve"> </w:t>
      </w:r>
      <w:r w:rsidR="00195777">
        <w:rPr>
          <w:rStyle w:val="BezodstpwZnak"/>
          <w:rFonts w:eastAsia="Calibri"/>
        </w:rPr>
        <w:t xml:space="preserve">Gminy </w:t>
      </w:r>
      <w:r w:rsidR="00054632">
        <w:rPr>
          <w:rStyle w:val="BezodstpwZnak"/>
          <w:rFonts w:eastAsia="Calibri"/>
        </w:rPr>
        <w:t>Mrągowo</w:t>
      </w:r>
      <w:r w:rsidR="00DE3289">
        <w:rPr>
          <w:rStyle w:val="BezodstpwZnak"/>
          <w:rFonts w:eastAsia="Calibri"/>
        </w:rPr>
        <w:t xml:space="preserve"> </w:t>
      </w:r>
      <w:r w:rsidR="00EB0373">
        <w:rPr>
          <w:rStyle w:val="BezodstpwZnak"/>
          <w:rFonts w:eastAsia="Calibri"/>
        </w:rPr>
        <w:t xml:space="preserve">oraz informacje o przewidywanych oddziaływaniach na środowisko </w:t>
      </w:r>
      <w:r w:rsidR="00DE3289">
        <w:rPr>
          <w:rStyle w:val="BezodstpwZnak"/>
          <w:rFonts w:eastAsia="Calibri"/>
        </w:rPr>
        <w:lastRenderedPageBreak/>
        <w:t>w </w:t>
      </w:r>
      <w:r w:rsidR="00EB0373">
        <w:rPr>
          <w:rStyle w:val="BezodstpwZnak"/>
          <w:rFonts w:eastAsia="Calibri"/>
        </w:rPr>
        <w:t xml:space="preserve">wyniku realizacji zadań ujętych w </w:t>
      </w:r>
      <w:r w:rsidR="00EB0373" w:rsidRPr="00EB0373">
        <w:rPr>
          <w:rStyle w:val="BezodstpwZnak"/>
          <w:rFonts w:eastAsia="Calibri"/>
          <w:i/>
        </w:rPr>
        <w:t>Programie</w:t>
      </w:r>
      <w:r w:rsidR="00EB0373">
        <w:rPr>
          <w:rStyle w:val="BezodstpwZnak"/>
          <w:rFonts w:eastAsia="Calibri"/>
        </w:rPr>
        <w:t>. K</w:t>
      </w:r>
      <w:r w:rsidR="00691F33">
        <w:rPr>
          <w:rStyle w:val="BezodstpwZnak"/>
          <w:rFonts w:eastAsia="Calibri"/>
        </w:rPr>
        <w:t xml:space="preserve">ażde </w:t>
      </w:r>
      <w:r w:rsidR="00EB0373">
        <w:rPr>
          <w:rStyle w:val="BezodstpwZnak"/>
          <w:rFonts w:eastAsia="Calibri"/>
        </w:rPr>
        <w:t xml:space="preserve">z </w:t>
      </w:r>
      <w:r w:rsidR="00691F33">
        <w:rPr>
          <w:rStyle w:val="BezodstpwZnak"/>
          <w:rFonts w:eastAsia="Calibri"/>
        </w:rPr>
        <w:t>zaplanowan</w:t>
      </w:r>
      <w:r w:rsidR="00EB0373">
        <w:rPr>
          <w:rStyle w:val="BezodstpwZnak"/>
          <w:rFonts w:eastAsia="Calibri"/>
        </w:rPr>
        <w:t>ych</w:t>
      </w:r>
      <w:r w:rsidR="00691F33">
        <w:rPr>
          <w:rStyle w:val="BezodstpwZnak"/>
          <w:rFonts w:eastAsia="Calibri"/>
        </w:rPr>
        <w:t xml:space="preserve"> przez </w:t>
      </w:r>
      <w:r w:rsidR="00732708">
        <w:rPr>
          <w:rStyle w:val="BezodstpwZnak"/>
          <w:rFonts w:eastAsia="Calibri"/>
        </w:rPr>
        <w:t xml:space="preserve">gminę </w:t>
      </w:r>
      <w:r w:rsidR="00691F33">
        <w:rPr>
          <w:rStyle w:val="BezodstpwZnak"/>
          <w:rFonts w:eastAsia="Calibri"/>
        </w:rPr>
        <w:t>zada</w:t>
      </w:r>
      <w:r w:rsidR="00EB0373">
        <w:rPr>
          <w:rStyle w:val="BezodstpwZnak"/>
          <w:rFonts w:eastAsia="Calibri"/>
        </w:rPr>
        <w:t>ń</w:t>
      </w:r>
      <w:r w:rsidR="00691F33">
        <w:rPr>
          <w:rStyle w:val="BezodstpwZnak"/>
          <w:rFonts w:eastAsia="Calibri"/>
        </w:rPr>
        <w:t xml:space="preserve"> poddane zostało </w:t>
      </w:r>
      <w:r w:rsidR="00B21D37">
        <w:rPr>
          <w:rStyle w:val="BezodstpwZnak"/>
          <w:rFonts w:eastAsia="Calibri"/>
        </w:rPr>
        <w:t xml:space="preserve">analizie oddziaływania na środowisko. Pod uwagę wzięto </w:t>
      </w:r>
      <w:r w:rsidR="006C7EF1">
        <w:rPr>
          <w:rStyle w:val="BezodstpwZnak"/>
          <w:rFonts w:eastAsia="Calibri"/>
        </w:rPr>
        <w:t>dwie</w:t>
      </w:r>
      <w:r w:rsidR="00B21D37">
        <w:rPr>
          <w:rStyle w:val="BezodstpwZnak"/>
          <w:rFonts w:eastAsia="Calibri"/>
        </w:rPr>
        <w:t xml:space="preserve"> fazy przebiegu realizacji inwestycji: fazę budowy i fazę realizacji. </w:t>
      </w:r>
    </w:p>
    <w:p w:rsidR="00685313" w:rsidRDefault="00685313" w:rsidP="001912A5">
      <w:pPr>
        <w:pStyle w:val="Akapitzlist"/>
        <w:autoSpaceDE w:val="0"/>
        <w:autoSpaceDN w:val="0"/>
        <w:adjustRightInd w:val="0"/>
        <w:ind w:left="0" w:firstLine="708"/>
        <w:jc w:val="both"/>
        <w:rPr>
          <w:rStyle w:val="BezodstpwZnak"/>
          <w:rFonts w:eastAsia="Calibri"/>
        </w:rPr>
      </w:pPr>
      <w:r>
        <w:rPr>
          <w:rStyle w:val="BezodstpwZnak"/>
          <w:rFonts w:eastAsia="Calibri"/>
        </w:rPr>
        <w:t>Podsumowując przeprowadzoną analizę oddziaływań stwierdzono, że n</w:t>
      </w:r>
      <w:r w:rsidR="00932E28">
        <w:rPr>
          <w:rStyle w:val="BezodstpwZnak"/>
          <w:rFonts w:eastAsia="Calibri"/>
        </w:rPr>
        <w:t xml:space="preserve">ie przewiduje </w:t>
      </w:r>
      <w:r>
        <w:rPr>
          <w:rStyle w:val="BezodstpwZnak"/>
          <w:rFonts w:eastAsia="Calibri"/>
        </w:rPr>
        <w:t xml:space="preserve">znaczącego negatywnego oddziaływania na środowisko zadań ujętych w </w:t>
      </w:r>
      <w:r w:rsidRPr="00C6163F">
        <w:rPr>
          <w:rStyle w:val="BezodstpwZnak"/>
          <w:rFonts w:eastAsia="Calibri"/>
          <w:i/>
        </w:rPr>
        <w:t>Programie</w:t>
      </w:r>
      <w:r>
        <w:rPr>
          <w:rStyle w:val="BezodstpwZnak"/>
          <w:rFonts w:eastAsia="Calibri"/>
        </w:rPr>
        <w:t xml:space="preserve">, zarówno podczas fazy </w:t>
      </w:r>
      <w:r w:rsidR="00DC6256">
        <w:rPr>
          <w:rStyle w:val="BezodstpwZnak"/>
          <w:rFonts w:eastAsia="Calibri"/>
        </w:rPr>
        <w:t>realizacji, jak</w:t>
      </w:r>
      <w:r w:rsidR="00B42D61">
        <w:rPr>
          <w:rStyle w:val="BezodstpwZnak"/>
          <w:rFonts w:eastAsia="Calibri"/>
        </w:rPr>
        <w:t xml:space="preserve"> </w:t>
      </w:r>
      <w:r w:rsidR="00DC6256">
        <w:rPr>
          <w:rStyle w:val="BezodstpwZnak"/>
          <w:rFonts w:eastAsia="Calibri"/>
        </w:rPr>
        <w:t>i</w:t>
      </w:r>
      <w:r>
        <w:rPr>
          <w:rStyle w:val="BezodstpwZnak"/>
          <w:rFonts w:eastAsia="Calibri"/>
        </w:rPr>
        <w:t xml:space="preserve"> fazy eksploatacji. Możliwe oddziaływania mające miejsce podczas fazy realizacji zadań mogą mieć charakter miejscowy</w:t>
      </w:r>
      <w:r w:rsidR="00892114">
        <w:rPr>
          <w:rStyle w:val="BezodstpwZnak"/>
          <w:rFonts w:eastAsia="Calibri"/>
        </w:rPr>
        <w:t xml:space="preserve"> i krótkotrwały, niepowodujący zaburzenia równowagi w środowisku.</w:t>
      </w:r>
    </w:p>
    <w:p w:rsidR="001912A5" w:rsidRDefault="007231EF" w:rsidP="001912A5">
      <w:pPr>
        <w:pStyle w:val="Akapitzlist"/>
        <w:autoSpaceDE w:val="0"/>
        <w:autoSpaceDN w:val="0"/>
        <w:adjustRightInd w:val="0"/>
        <w:ind w:left="0" w:firstLine="708"/>
        <w:jc w:val="both"/>
        <w:rPr>
          <w:rStyle w:val="BezodstpwZnak"/>
          <w:rFonts w:eastAsia="Calibri"/>
        </w:rPr>
      </w:pPr>
      <w:r>
        <w:rPr>
          <w:rStyle w:val="BezodstpwZnak"/>
          <w:rFonts w:eastAsia="Calibri"/>
        </w:rPr>
        <w:t>Faza eksploatacji</w:t>
      </w:r>
      <w:r w:rsidR="005703FB">
        <w:rPr>
          <w:rStyle w:val="BezodstpwZnak"/>
          <w:rFonts w:eastAsia="Calibri"/>
        </w:rPr>
        <w:t xml:space="preserve"> </w:t>
      </w:r>
      <w:r w:rsidR="006F7D49">
        <w:rPr>
          <w:rStyle w:val="BezodstpwZnak"/>
          <w:rFonts w:eastAsia="Calibri"/>
        </w:rPr>
        <w:t>zrealizowanych zadań</w:t>
      </w:r>
      <w:r>
        <w:rPr>
          <w:rStyle w:val="BezodstpwZnak"/>
          <w:rFonts w:eastAsia="Calibri"/>
        </w:rPr>
        <w:t xml:space="preserve"> niesie ze sobą wiele korzyści. </w:t>
      </w:r>
      <w:r w:rsidR="00757349">
        <w:rPr>
          <w:rStyle w:val="BezodstpwZnak"/>
          <w:rFonts w:eastAsia="Calibri"/>
        </w:rPr>
        <w:t>Podejmowanie inwestycji związanych z</w:t>
      </w:r>
      <w:r w:rsidR="007B2B53">
        <w:rPr>
          <w:rStyle w:val="BezodstpwZnak"/>
          <w:rFonts w:eastAsia="Calibri"/>
        </w:rPr>
        <w:t xml:space="preserve"> rozbudową</w:t>
      </w:r>
      <w:r w:rsidR="00FB718A">
        <w:rPr>
          <w:rStyle w:val="BezodstpwZnak"/>
          <w:rFonts w:eastAsia="Calibri"/>
        </w:rPr>
        <w:t> </w:t>
      </w:r>
      <w:r w:rsidR="00757349">
        <w:rPr>
          <w:rStyle w:val="BezodstpwZnak"/>
          <w:rFonts w:eastAsia="Calibri"/>
        </w:rPr>
        <w:t>infrastruktu</w:t>
      </w:r>
      <w:r w:rsidR="005D4BB9">
        <w:rPr>
          <w:rStyle w:val="BezodstpwZnak"/>
          <w:rFonts w:eastAsia="Calibri"/>
        </w:rPr>
        <w:t>r</w:t>
      </w:r>
      <w:r w:rsidR="007B2B53">
        <w:rPr>
          <w:rStyle w:val="BezodstpwZnak"/>
          <w:rFonts w:eastAsia="Calibri"/>
        </w:rPr>
        <w:t>y</w:t>
      </w:r>
      <w:r w:rsidR="005D4BB9">
        <w:rPr>
          <w:rStyle w:val="BezodstpwZnak"/>
          <w:rFonts w:eastAsia="Calibri"/>
        </w:rPr>
        <w:t xml:space="preserve"> wodno-kanalizacyjn</w:t>
      </w:r>
      <w:r w:rsidR="007B2B53">
        <w:rPr>
          <w:rStyle w:val="BezodstpwZnak"/>
          <w:rFonts w:eastAsia="Calibri"/>
        </w:rPr>
        <w:t>ej</w:t>
      </w:r>
      <w:r w:rsidR="005D4BB9">
        <w:rPr>
          <w:rStyle w:val="BezodstpwZnak"/>
          <w:rFonts w:eastAsia="Calibri"/>
        </w:rPr>
        <w:t>, wpłynie pozytywnie na stan wód podziemnych i</w:t>
      </w:r>
      <w:r w:rsidR="00FB718A">
        <w:rPr>
          <w:rStyle w:val="BezodstpwZnak"/>
          <w:rFonts w:eastAsia="Calibri"/>
        </w:rPr>
        <w:t> </w:t>
      </w:r>
      <w:r w:rsidR="005D4BB9">
        <w:rPr>
          <w:rStyle w:val="BezodstpwZnak"/>
          <w:rFonts w:eastAsia="Calibri"/>
        </w:rPr>
        <w:t xml:space="preserve">powierzchniowych. </w:t>
      </w:r>
      <w:r w:rsidR="00FB718A">
        <w:rPr>
          <w:rStyle w:val="BezodstpwZnak"/>
          <w:rFonts w:eastAsia="Calibri"/>
        </w:rPr>
        <w:t xml:space="preserve">Ochrona klimatu i jakości powietrza realizowana </w:t>
      </w:r>
      <w:r w:rsidR="00E12A8F">
        <w:rPr>
          <w:rStyle w:val="BezodstpwZnak"/>
          <w:rFonts w:eastAsia="Calibri"/>
        </w:rPr>
        <w:t xml:space="preserve">będzie </w:t>
      </w:r>
      <w:r w:rsidR="00570B41">
        <w:rPr>
          <w:rStyle w:val="BezodstpwZnak"/>
          <w:rFonts w:eastAsia="Calibri"/>
        </w:rPr>
        <w:t xml:space="preserve">głównie </w:t>
      </w:r>
      <w:r w:rsidR="00FB718A">
        <w:rPr>
          <w:rStyle w:val="BezodstpwZnak"/>
          <w:rFonts w:eastAsia="Calibri"/>
        </w:rPr>
        <w:t xml:space="preserve">poprzez </w:t>
      </w:r>
      <w:r w:rsidR="00AE7B32">
        <w:rPr>
          <w:rStyle w:val="BezodstpwZnak"/>
          <w:rFonts w:eastAsia="Calibri"/>
        </w:rPr>
        <w:t>modernizacje dróg</w:t>
      </w:r>
      <w:r w:rsidR="00E20097">
        <w:rPr>
          <w:rStyle w:val="BezodstpwZnak"/>
          <w:rFonts w:eastAsia="Calibri"/>
        </w:rPr>
        <w:t xml:space="preserve">. </w:t>
      </w:r>
      <w:r w:rsidR="002F7AA5">
        <w:rPr>
          <w:rStyle w:val="BezodstpwZnak"/>
          <w:rFonts w:eastAsia="Calibri"/>
        </w:rPr>
        <w:t>Działania te</w:t>
      </w:r>
      <w:r w:rsidR="007B2B53">
        <w:rPr>
          <w:rStyle w:val="BezodstpwZnak"/>
          <w:rFonts w:eastAsia="Calibri"/>
        </w:rPr>
        <w:t xml:space="preserve"> </w:t>
      </w:r>
      <w:r w:rsidR="002F7AA5">
        <w:rPr>
          <w:rStyle w:val="BezodstpwZnak"/>
          <w:rFonts w:eastAsia="Calibri"/>
        </w:rPr>
        <w:t xml:space="preserve">przyczynią </w:t>
      </w:r>
      <w:r w:rsidR="00AB00DC">
        <w:rPr>
          <w:rStyle w:val="BezodstpwZnak"/>
          <w:rFonts w:eastAsia="Calibri"/>
        </w:rPr>
        <w:t xml:space="preserve">się do </w:t>
      </w:r>
      <w:r w:rsidR="00197395">
        <w:rPr>
          <w:rStyle w:val="BezodstpwZnak"/>
          <w:rFonts w:eastAsia="Calibri"/>
        </w:rPr>
        <w:t>redukcji emisji dwutlenku</w:t>
      </w:r>
      <w:r w:rsidR="00486DFE">
        <w:rPr>
          <w:rStyle w:val="BezodstpwZnak"/>
          <w:rFonts w:eastAsia="Calibri"/>
        </w:rPr>
        <w:t xml:space="preserve"> węgla</w:t>
      </w:r>
      <w:r w:rsidR="00197395">
        <w:rPr>
          <w:rStyle w:val="BezodstpwZnak"/>
          <w:rFonts w:eastAsia="Calibri"/>
        </w:rPr>
        <w:t xml:space="preserve"> </w:t>
      </w:r>
      <w:r w:rsidR="002A03EF">
        <w:rPr>
          <w:rStyle w:val="BezodstpwZnak"/>
          <w:rFonts w:eastAsia="Calibri"/>
        </w:rPr>
        <w:t>i</w:t>
      </w:r>
      <w:r w:rsidR="00FA483E">
        <w:rPr>
          <w:rStyle w:val="BezodstpwZnak"/>
          <w:rFonts w:eastAsia="Calibri"/>
        </w:rPr>
        <w:t> </w:t>
      </w:r>
      <w:r w:rsidR="002A03EF">
        <w:rPr>
          <w:rStyle w:val="BezodstpwZnak"/>
          <w:rFonts w:eastAsia="Calibri"/>
        </w:rPr>
        <w:t xml:space="preserve">zanieczyszczeń </w:t>
      </w:r>
      <w:r w:rsidR="00FA483E">
        <w:rPr>
          <w:rStyle w:val="BezodstpwZnak"/>
          <w:rFonts w:eastAsia="Calibri"/>
        </w:rPr>
        <w:t>do atmosfery.</w:t>
      </w:r>
    </w:p>
    <w:p w:rsidR="001912A5" w:rsidRDefault="00BB0B6C" w:rsidP="00BB0B6C">
      <w:pPr>
        <w:pStyle w:val="Nagwek1"/>
        <w:rPr>
          <w:lang w:val="pl-PL"/>
        </w:rPr>
      </w:pPr>
      <w:bookmarkStart w:id="6" w:name="_Toc483904008"/>
      <w:r>
        <w:rPr>
          <w:lang w:val="pl-PL"/>
        </w:rPr>
        <w:t>Opiniowanie</w:t>
      </w:r>
      <w:r w:rsidR="00B43ABB">
        <w:rPr>
          <w:lang w:val="pl-PL"/>
        </w:rPr>
        <w:t xml:space="preserve"> przez właściwe organy</w:t>
      </w:r>
      <w:bookmarkEnd w:id="6"/>
    </w:p>
    <w:p w:rsidR="00C374E5" w:rsidRPr="00E9041E" w:rsidRDefault="00C374E5" w:rsidP="00C374E5">
      <w:pPr>
        <w:pStyle w:val="Akapit"/>
        <w:rPr>
          <w:rStyle w:val="BezodstpwZnak"/>
        </w:rPr>
      </w:pPr>
      <w:r w:rsidRPr="00E9041E">
        <w:t xml:space="preserve">Zakres i stopień szczegółowości </w:t>
      </w:r>
      <w:r w:rsidRPr="00E9041E">
        <w:rPr>
          <w:i/>
          <w:iCs/>
        </w:rPr>
        <w:t xml:space="preserve">Prognozy oddziaływania na środowisko </w:t>
      </w:r>
      <w:r w:rsidRPr="00E9041E">
        <w:rPr>
          <w:bCs/>
          <w:i/>
          <w:iCs/>
        </w:rPr>
        <w:t xml:space="preserve">Programu Ochrony Środowiska </w:t>
      </w:r>
      <w:r w:rsidRPr="00C33F9C">
        <w:rPr>
          <w:rFonts w:asciiTheme="minorHAnsi" w:hAnsiTheme="minorHAnsi"/>
          <w:bCs/>
          <w:color w:val="000000"/>
        </w:rPr>
        <w:t>dla Gminy</w:t>
      </w:r>
      <w:r w:rsidRPr="00E7622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Mrągowo</w:t>
      </w:r>
      <w:r w:rsidRPr="00E76229">
        <w:rPr>
          <w:rFonts w:asciiTheme="minorHAnsi" w:hAnsiTheme="minorHAnsi"/>
          <w:bCs/>
          <w:color w:val="000000"/>
        </w:rPr>
        <w:t xml:space="preserve"> do roku 2020</w:t>
      </w:r>
      <w:r>
        <w:rPr>
          <w:rFonts w:asciiTheme="minorHAnsi" w:hAnsiTheme="minorHAnsi"/>
          <w:bCs/>
          <w:color w:val="000000"/>
        </w:rPr>
        <w:t xml:space="preserve"> </w:t>
      </w:r>
      <w:r w:rsidRPr="00E9041E">
        <w:t xml:space="preserve">wynika z art. 51 ust. 2 ww. ustawy </w:t>
      </w:r>
      <w:r w:rsidRPr="00E9041E">
        <w:rPr>
          <w:rStyle w:val="BezodstpwZnak"/>
        </w:rPr>
        <w:t xml:space="preserve">i został uzgodniony </w:t>
      </w:r>
      <w:r>
        <w:rPr>
          <w:rStyle w:val="BezodstpwZnak"/>
          <w:rFonts w:asciiTheme="minorHAnsi" w:hAnsiTheme="minorHAnsi"/>
        </w:rPr>
        <w:t>z Regionalnym Dyrektorem Ochrony Środowiska w Olsztynie</w:t>
      </w:r>
      <w:r w:rsidRPr="006069EC">
        <w:rPr>
          <w:rStyle w:val="BezodstpwZnak"/>
          <w:rFonts w:asciiTheme="minorHAnsi" w:hAnsiTheme="minorHAnsi"/>
          <w:color w:val="000000" w:themeColor="text1"/>
        </w:rPr>
        <w:t xml:space="preserve"> (pismo z dnia</w:t>
      </w:r>
      <w:r>
        <w:rPr>
          <w:rStyle w:val="BezodstpwZnak"/>
          <w:rFonts w:asciiTheme="minorHAnsi" w:hAnsiTheme="minorHAnsi"/>
          <w:color w:val="000000" w:themeColor="text1"/>
        </w:rPr>
        <w:t xml:space="preserve"> 21 marca</w:t>
      </w:r>
      <w:r w:rsidRPr="006069EC">
        <w:rPr>
          <w:rStyle w:val="BezodstpwZnak"/>
          <w:rFonts w:asciiTheme="minorHAnsi" w:hAnsiTheme="minorHAnsi"/>
          <w:color w:val="000000" w:themeColor="text1"/>
        </w:rPr>
        <w:t xml:space="preserve"> 201</w:t>
      </w:r>
      <w:r>
        <w:rPr>
          <w:rStyle w:val="BezodstpwZnak"/>
          <w:rFonts w:asciiTheme="minorHAnsi" w:hAnsiTheme="minorHAnsi"/>
          <w:color w:val="000000" w:themeColor="text1"/>
        </w:rPr>
        <w:t>7</w:t>
      </w:r>
      <w:r w:rsidRPr="006069EC">
        <w:rPr>
          <w:rStyle w:val="BezodstpwZnak"/>
          <w:rFonts w:asciiTheme="minorHAnsi" w:hAnsiTheme="minorHAnsi"/>
          <w:color w:val="000000" w:themeColor="text1"/>
        </w:rPr>
        <w:t xml:space="preserve">.r, znak: </w:t>
      </w:r>
      <w:r>
        <w:rPr>
          <w:rStyle w:val="BezodstpwZnak"/>
          <w:rFonts w:asciiTheme="minorHAnsi" w:hAnsiTheme="minorHAnsi"/>
          <w:color w:val="000000" w:themeColor="text1"/>
        </w:rPr>
        <w:t>WOOŚ.411.41.2017.MT</w:t>
      </w:r>
      <w:r w:rsidRPr="006069EC">
        <w:rPr>
          <w:rStyle w:val="BezodstpwZnak"/>
          <w:rFonts w:asciiTheme="minorHAnsi" w:hAnsiTheme="minorHAnsi"/>
          <w:color w:val="000000" w:themeColor="text1"/>
        </w:rPr>
        <w:t xml:space="preserve">) </w:t>
      </w:r>
      <w:r>
        <w:rPr>
          <w:rStyle w:val="BezodstpwZnak"/>
          <w:rFonts w:asciiTheme="minorHAnsi" w:hAnsiTheme="minorHAnsi"/>
        </w:rPr>
        <w:t xml:space="preserve">oraz Warmińsko-Mazurskim Państwowym </w:t>
      </w:r>
      <w:r w:rsidRPr="00A665A3">
        <w:rPr>
          <w:rStyle w:val="BezodstpwZnak"/>
          <w:rFonts w:asciiTheme="minorHAnsi" w:hAnsiTheme="minorHAnsi"/>
        </w:rPr>
        <w:t xml:space="preserve">Wojewódzkim Inspektorem Sanitarnym </w:t>
      </w:r>
      <w:r w:rsidRPr="00A665A3">
        <w:rPr>
          <w:rStyle w:val="BezodstpwZnak"/>
          <w:rFonts w:asciiTheme="minorHAnsi" w:hAnsiTheme="minorHAnsi"/>
          <w:color w:val="000000" w:themeColor="text1"/>
        </w:rPr>
        <w:t xml:space="preserve">(pismo z dnia </w:t>
      </w:r>
      <w:r>
        <w:rPr>
          <w:rStyle w:val="BezodstpwZnak"/>
          <w:rFonts w:asciiTheme="minorHAnsi" w:hAnsiTheme="minorHAnsi"/>
          <w:color w:val="000000" w:themeColor="text1"/>
        </w:rPr>
        <w:t>18 kwietnia 2017</w:t>
      </w:r>
      <w:r w:rsidRPr="00A665A3">
        <w:rPr>
          <w:rStyle w:val="BezodstpwZnak"/>
          <w:rFonts w:asciiTheme="minorHAnsi" w:hAnsiTheme="minorHAnsi"/>
          <w:color w:val="000000" w:themeColor="text1"/>
        </w:rPr>
        <w:t xml:space="preserve"> r., znak: </w:t>
      </w:r>
      <w:r>
        <w:rPr>
          <w:rStyle w:val="BezodstpwZnak"/>
          <w:rFonts w:asciiTheme="minorHAnsi" w:hAnsiTheme="minorHAnsi"/>
          <w:color w:val="000000" w:themeColor="text1"/>
        </w:rPr>
        <w:t>ZNS.9022.5.36.2017.Z</w:t>
      </w:r>
      <w:r w:rsidRPr="00A665A3">
        <w:rPr>
          <w:rStyle w:val="BezodstpwZnak"/>
          <w:rFonts w:asciiTheme="minorHAnsi" w:hAnsiTheme="minorHAnsi"/>
          <w:color w:val="000000" w:themeColor="text1"/>
        </w:rPr>
        <w:t>).</w:t>
      </w:r>
    </w:p>
    <w:p w:rsidR="00C374E5" w:rsidRDefault="00C374E5" w:rsidP="00C374E5">
      <w:pPr>
        <w:pStyle w:val="Akapit"/>
        <w:rPr>
          <w:rStyle w:val="BezodstpwZnak"/>
        </w:rPr>
      </w:pPr>
      <w:r w:rsidRPr="00E9041E">
        <w:t xml:space="preserve">Projekt </w:t>
      </w:r>
      <w:r w:rsidRPr="00E9041E">
        <w:rPr>
          <w:bCs/>
          <w:i/>
          <w:iCs/>
        </w:rPr>
        <w:t xml:space="preserve">Programu </w:t>
      </w:r>
      <w:r w:rsidRPr="00E9041E">
        <w:t>wraz z jego prognozą oddziaływania na środowisko został poddany opiniowaniu przez ww. organy</w:t>
      </w:r>
      <w:r w:rsidRPr="00E9041E">
        <w:rPr>
          <w:rStyle w:val="BezodstpwZnak"/>
        </w:rPr>
        <w:t xml:space="preserve">. Regionalny Dyrektor Ochrony Środowiska w </w:t>
      </w:r>
      <w:r>
        <w:rPr>
          <w:rStyle w:val="BezodstpwZnak"/>
        </w:rPr>
        <w:t>Olsztynie (RDOŚ)</w:t>
      </w:r>
      <w:r w:rsidRPr="00E9041E">
        <w:rPr>
          <w:rStyle w:val="BezodstpwZnak"/>
          <w:color w:val="000000" w:themeColor="text1"/>
        </w:rPr>
        <w:t xml:space="preserve"> (pismo z dnia </w:t>
      </w:r>
      <w:r>
        <w:rPr>
          <w:rStyle w:val="BezodstpwZnak"/>
          <w:color w:val="000000" w:themeColor="text1"/>
        </w:rPr>
        <w:t>27 czerwca 2017 r., znak: WOOŚ.410.85</w:t>
      </w:r>
      <w:r w:rsidRPr="00E9041E">
        <w:rPr>
          <w:rStyle w:val="BezodstpwZnak"/>
          <w:color w:val="000000" w:themeColor="text1"/>
        </w:rPr>
        <w:t>.2017.</w:t>
      </w:r>
      <w:r>
        <w:rPr>
          <w:rStyle w:val="BezodstpwZnak"/>
          <w:color w:val="000000" w:themeColor="text1"/>
        </w:rPr>
        <w:t>MT</w:t>
      </w:r>
      <w:r w:rsidRPr="00E9041E">
        <w:rPr>
          <w:rStyle w:val="BezodstpwZnak"/>
          <w:color w:val="000000" w:themeColor="text1"/>
        </w:rPr>
        <w:t xml:space="preserve">) </w:t>
      </w:r>
      <w:r w:rsidRPr="00E9041E">
        <w:rPr>
          <w:rStyle w:val="BezodstpwZnak"/>
        </w:rPr>
        <w:t xml:space="preserve">oraz </w:t>
      </w:r>
      <w:r>
        <w:rPr>
          <w:rStyle w:val="BezodstpwZnak"/>
        </w:rPr>
        <w:t xml:space="preserve">Warmińsko-Mazurski </w:t>
      </w:r>
      <w:r w:rsidRPr="00E9041E">
        <w:rPr>
          <w:rStyle w:val="BezodstpwZnak"/>
        </w:rPr>
        <w:t>Państwowy W</w:t>
      </w:r>
      <w:r>
        <w:rPr>
          <w:rStyle w:val="BezodstpwZnak"/>
        </w:rPr>
        <w:t>ojewódzki Inspektor Sanitarny</w:t>
      </w:r>
      <w:r w:rsidRPr="00E9041E">
        <w:rPr>
          <w:rStyle w:val="BezodstpwZnak"/>
        </w:rPr>
        <w:t xml:space="preserve"> </w:t>
      </w:r>
      <w:r w:rsidRPr="00E9041E">
        <w:rPr>
          <w:rStyle w:val="BezodstpwZnak"/>
          <w:color w:val="000000" w:themeColor="text1"/>
        </w:rPr>
        <w:t xml:space="preserve">(pismo z dnia </w:t>
      </w:r>
      <w:r>
        <w:rPr>
          <w:rStyle w:val="BezodstpwZnak"/>
          <w:color w:val="000000" w:themeColor="text1"/>
        </w:rPr>
        <w:t>11 lipca</w:t>
      </w:r>
      <w:r w:rsidRPr="00E9041E">
        <w:rPr>
          <w:rStyle w:val="BezodstpwZnak"/>
          <w:color w:val="000000" w:themeColor="text1"/>
        </w:rPr>
        <w:t xml:space="preserve"> 2017 r., znak:</w:t>
      </w:r>
      <w:r>
        <w:rPr>
          <w:rStyle w:val="BezodstpwZnak"/>
          <w:color w:val="000000" w:themeColor="text1"/>
        </w:rPr>
        <w:t>ZNS.9022.5.78.2017.Z</w:t>
      </w:r>
      <w:r w:rsidRPr="00E9041E">
        <w:rPr>
          <w:rStyle w:val="BezodstpwZnak"/>
          <w:color w:val="000000" w:themeColor="text1"/>
        </w:rPr>
        <w:t>)</w:t>
      </w:r>
      <w:r>
        <w:rPr>
          <w:rStyle w:val="BezodstpwZnak"/>
          <w:color w:val="000000" w:themeColor="text1"/>
        </w:rPr>
        <w:t>. RDOŚ</w:t>
      </w:r>
      <w:r w:rsidRPr="00E9041E">
        <w:rPr>
          <w:rStyle w:val="BezodstpwZnak"/>
          <w:color w:val="000000" w:themeColor="text1"/>
        </w:rPr>
        <w:t xml:space="preserve"> </w:t>
      </w:r>
      <w:r>
        <w:rPr>
          <w:rStyle w:val="BezodstpwZnak"/>
        </w:rPr>
        <w:t xml:space="preserve">zaopiniował ww. dokumenty z następującymi uwagami </w:t>
      </w:r>
      <w:r w:rsidR="002271BC">
        <w:rPr>
          <w:rStyle w:val="BezodstpwZnak"/>
        </w:rPr>
        <w:t>:</w:t>
      </w:r>
    </w:p>
    <w:p w:rsidR="00C374E5" w:rsidRPr="007904F5" w:rsidRDefault="00C374E5" w:rsidP="00C374E5">
      <w:pPr>
        <w:pStyle w:val="Akapit"/>
        <w:rPr>
          <w:b/>
        </w:rPr>
      </w:pPr>
      <w:r w:rsidRPr="007904F5">
        <w:rPr>
          <w:b/>
        </w:rPr>
        <w:t>Uwaga nr 1:</w:t>
      </w:r>
    </w:p>
    <w:p w:rsidR="00C374E5" w:rsidRDefault="00C374E5" w:rsidP="00C374E5">
      <w:pPr>
        <w:pStyle w:val="Akapit"/>
      </w:pPr>
      <w:r>
        <w:t xml:space="preserve">Dokument oraz prognozę uzupełnić o informację, dotyczące udziału społeczeństwa, co jest wymaganiem prawnym w odniesieniu do opracowywania projektów planów, programów (zasady te określa Dział 3, rozdział 3 Udział społeczeństwa w opracowywaniu dokumentów ustawy OOŚ). W procesie planowania POŚ należy uwzględnić udział społeczeństwa, który polega na konsultacjach ze społeczeństwem umożliwiających </w:t>
      </w:r>
      <w:r>
        <w:lastRenderedPageBreak/>
        <w:t xml:space="preserve">zgłaszanie wniosków, uwag i opinii. Przeprowadzone działania w tym zakresie powinny być odzwierciedlone w dokumencie; </w:t>
      </w:r>
    </w:p>
    <w:p w:rsidR="00C374E5" w:rsidRDefault="00C374E5" w:rsidP="00C374E5">
      <w:pPr>
        <w:pStyle w:val="Akapit"/>
        <w:rPr>
          <w:b/>
        </w:rPr>
      </w:pPr>
      <w:r w:rsidRPr="007904F5">
        <w:rPr>
          <w:b/>
        </w:rPr>
        <w:t>Uwzględnienie uwagi</w:t>
      </w:r>
      <w:r>
        <w:rPr>
          <w:b/>
        </w:rPr>
        <w:t xml:space="preserve"> 1</w:t>
      </w:r>
      <w:r w:rsidRPr="007904F5">
        <w:rPr>
          <w:b/>
        </w:rPr>
        <w:t>:</w:t>
      </w:r>
    </w:p>
    <w:p w:rsidR="00C374E5" w:rsidRPr="00190AB2" w:rsidRDefault="00C374E5" w:rsidP="00C374E5">
      <w:pPr>
        <w:pStyle w:val="Akapit"/>
      </w:pPr>
      <w:r>
        <w:t xml:space="preserve">Uwaga nie została uwzględniona. Zgodnie z art. 42, ust pkt 2 ustawy OOŚ </w:t>
      </w:r>
      <w:r>
        <w:rPr>
          <w:sz w:val="23"/>
          <w:szCs w:val="23"/>
        </w:rPr>
        <w:t>organ opracowujący projekt dokumentu wymagającego udziału społeczeństwa dołącza do przyjętego dokumentu uzasadnienie zawierające informacje o udziale społeczeństwa w postępowaniu oraz o tym, w jaki sposób zostały wzięte pod uwagę i w jakim zakresie zostały uwzględnione uwagi i wnioski zgłoszone w związku z udziałem społeczeństwa. W związku z powyższym nieuzasadnione jest umieszczanie informacji nt. udziału społeczeństwa w POŚ oraz Prognozie.</w:t>
      </w:r>
    </w:p>
    <w:p w:rsidR="00C374E5" w:rsidRPr="00C35E20" w:rsidRDefault="00C374E5" w:rsidP="00C374E5">
      <w:pPr>
        <w:pStyle w:val="Akapit"/>
        <w:rPr>
          <w:b/>
        </w:rPr>
      </w:pPr>
      <w:r w:rsidRPr="00C35E20">
        <w:rPr>
          <w:b/>
        </w:rPr>
        <w:t>Uwaga nr 2:</w:t>
      </w:r>
    </w:p>
    <w:p w:rsidR="00C374E5" w:rsidRDefault="00C374E5" w:rsidP="00C374E5">
      <w:pPr>
        <w:pStyle w:val="Akapit"/>
      </w:pPr>
      <w:r>
        <w:t>Przedłożony dokument został opracowany w sposób bardzo ogólny i ogranicza się do omówienia jedynie podstawowych aspektów środowiskowych (przede wszystkim jakości powietrza oraz gospodarki wodno-ściekowej). Mając na uwadze, że są to najbardziej istotne bolączki problemy gminy, koncentracja POŚ wokół działań naprawczych w tym zakresie jest z pewnością słuszna; nie oznacza to jednak zawężenia POŚ tylko do wymienionych obszarów, z pominięciem nowych wyzwań ( w tym wymaganych przepisami prawa) w dziedzinie ochrony środowiska; w projekcie Programu należy zatem uwzględnić dodatkowo następujące zagadnienia: gospodarkę o obiegu zamkniętym, ochronę klimatu, przeciwdziałanie zmianom klimatycznym, ochronę krajobrazu, ochronę bioróżnorodności, ochronę zabytków (które stanowią element środowiska, w POŚ ograniczono się jedynie do wymieniania obiektów), ochronę przed powodzią, suszą i deficytem wody;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2:</w:t>
      </w:r>
    </w:p>
    <w:p w:rsidR="00C374E5" w:rsidRPr="001847FE" w:rsidRDefault="00C374E5" w:rsidP="00C374E5">
      <w:pPr>
        <w:pStyle w:val="Akapit"/>
      </w:pPr>
      <w:r>
        <w:t>Uwaga została częściowo uwzględniona. Dodano zapis dot. ochrony klimatu.. Sugerowane przez opiniującego „ …. zawężenie POŚ tylko do wymienionych obszarów, z</w:t>
      </w:r>
      <w:r w:rsidR="00D83C2C">
        <w:t> </w:t>
      </w:r>
      <w:r>
        <w:t>pominięciem nowych wyzwań…. jest zgodne z opublikowanymi przez Ministerstwo Środowisko „Wytycznymi do opracowania wojewódzkich, powiatowych i gminnych programów ochrony środowiska” Warszawa, 2 września 2015, (str. nr 6) – „należy dokonać oceny stanu środowiska na terenie danej JST z uwzględnieniem dziesięć obszarów przyszłej interwencji”, ponadto według ww. wytycznych „rekomendowana jest rezygnacja z długich opisów na rzecz zwięzłych zdań, grafik, oraz zestawień tabelarycznych”.</w:t>
      </w:r>
    </w:p>
    <w:p w:rsidR="00BF0DFC" w:rsidRDefault="00BF0DF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lastRenderedPageBreak/>
        <w:t>Uwaga nr 3:</w:t>
      </w:r>
    </w:p>
    <w:p w:rsidR="00C374E5" w:rsidRPr="00C35E20" w:rsidRDefault="00C374E5" w:rsidP="00C374E5">
      <w:pPr>
        <w:pStyle w:val="Akapit"/>
      </w:pPr>
      <w:r>
        <w:t>W analizie SWOT, dotyczącej zagrożeń dla środowiska (rozdział 5.9 strona 46) ograniczono się do zaledwie dwóch lakonicznych zapisów.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3:</w:t>
      </w:r>
    </w:p>
    <w:p w:rsidR="00C374E5" w:rsidRPr="005509ED" w:rsidRDefault="00C374E5" w:rsidP="00C374E5">
      <w:pPr>
        <w:pStyle w:val="Akapit"/>
      </w:pPr>
      <w:r>
        <w:t>Rozdział „Zasoby przyrodnicze” został przeanalizowany. Analiza SWOT została uzupełniona w dodatkowe zapisy.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4:</w:t>
      </w:r>
    </w:p>
    <w:p w:rsidR="00C374E5" w:rsidRPr="00982039" w:rsidRDefault="00C374E5" w:rsidP="00C374E5">
      <w:pPr>
        <w:pStyle w:val="Akapit"/>
      </w:pPr>
      <w:r>
        <w:t xml:space="preserve">Bardzo ogólnie potraktowano zagadnienia przyrodnicze, ograniczając się do wymieniania form ochrony przyrody (nieco szerzej omówiono jedynie obszary Natura 2000).Rozdział 5.9.2 ( str. 42 projektu POŚ) oraz 9.9.2 prognozy –formy ochrony przyrody , należy uzupełnić w sposób następujący: wskazać na wszystkie akty prawne powołujące /wyznaczające dane formy oraz przynajmniej najbardziej istotne zakazy i odstępstwa od zakazów wynikające z ww. akapitów (np. zakaz lokalizacji obiektów budowlanych w pasie 100 m od linii brzegowej rzek, jezior, innych zbiorników wodnych, zakaz realizacji przedsięwzięć (z wyjątkami) zakaz wycinki </w:t>
      </w:r>
      <w:proofErr w:type="spellStart"/>
      <w:r>
        <w:t>zadrzewień</w:t>
      </w:r>
      <w:proofErr w:type="spellEnd"/>
      <w:r>
        <w:t xml:space="preserve"> i </w:t>
      </w:r>
      <w:proofErr w:type="spellStart"/>
      <w:r>
        <w:t>zakrzaczeń</w:t>
      </w:r>
      <w:proofErr w:type="spellEnd"/>
      <w:r>
        <w:t xml:space="preserve"> śródpolnych i</w:t>
      </w:r>
      <w:r w:rsidR="00D83C2C">
        <w:t> </w:t>
      </w:r>
      <w:r>
        <w:t>przydrożnych, zakaz zabijania dziko występujących zwierząt, niszczenie ich nor, legowisk, zakaz zmiany stosunków wodnych, zakaz zmiany rzeźby terenu.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4:</w:t>
      </w:r>
    </w:p>
    <w:p w:rsidR="00C374E5" w:rsidRPr="00FF5F8D" w:rsidRDefault="00C374E5" w:rsidP="00C374E5">
      <w:pPr>
        <w:pStyle w:val="Akapit"/>
      </w:pPr>
      <w:r>
        <w:t>W rozdziale „.5.9.2. Formy ochrony przyrody” opis poszczególnych form ochrony przyrody został uzupełniony o  akty prawne powołujące formy ochrony przyrody</w:t>
      </w:r>
      <w:r w:rsidRPr="00F11E70">
        <w:t xml:space="preserve"> </w:t>
      </w:r>
      <w:r>
        <w:rPr>
          <w:b/>
        </w:rPr>
        <w:t>–</w:t>
      </w:r>
      <w:r>
        <w:t>dane z</w:t>
      </w:r>
      <w:r w:rsidR="00D83C2C">
        <w:t> </w:t>
      </w:r>
      <w:r>
        <w:t>GDOŚ (crfop.gdos.gov.pl).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5:</w:t>
      </w:r>
    </w:p>
    <w:p w:rsidR="00C374E5" w:rsidRPr="00F82B60" w:rsidRDefault="00C374E5" w:rsidP="00C374E5">
      <w:pPr>
        <w:pStyle w:val="Akapit"/>
      </w:pPr>
      <w:r>
        <w:t>W odniesieniu do obszarów natura 2000 uwzględnić także plany zadań ochronnych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5:</w:t>
      </w:r>
    </w:p>
    <w:p w:rsidR="00C374E5" w:rsidRPr="00B9587D" w:rsidRDefault="00C374E5" w:rsidP="00C374E5">
      <w:pPr>
        <w:pStyle w:val="Akapit"/>
      </w:pPr>
      <w:r>
        <w:t xml:space="preserve">Plan zadań ochronnych dla obszarów Natura 2000 m.in.: identyfikuje istniejące i potencjalne zagrożenia dla zachowania właściwego stanu ochrony siedlisk przyrodniczych oraz gatunków roślin i zwierząt i ich siedlisk będących przedmiotami ochrony”. Przeprowadzona w </w:t>
      </w:r>
      <w:r w:rsidRPr="004D43BD">
        <w:rPr>
          <w:i/>
        </w:rPr>
        <w:t>Prognozie</w:t>
      </w:r>
      <w:r>
        <w:t xml:space="preserve"> analiza pod kątem oddziaływania zadań na poszczególne komponenty środowiska wykazała, że nie będą one w znacznym stopniu wpływały na obszary Natura 2000. Plany zadań ochronnych będą wzięte pod uwagę w przypadku rozpoczęcia prac budowlanych na obszarze objętym ochroną.</w:t>
      </w:r>
    </w:p>
    <w:p w:rsidR="00BF0DFC" w:rsidRDefault="00BF0DF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lastRenderedPageBreak/>
        <w:t>Uwaga nr 6:</w:t>
      </w:r>
    </w:p>
    <w:p w:rsidR="00C374E5" w:rsidRDefault="00C374E5" w:rsidP="00C374E5">
      <w:pPr>
        <w:pStyle w:val="Akapit"/>
      </w:pPr>
      <w:r>
        <w:t xml:space="preserve">Zagadnienie ochrony gatunkowej zostało ogólnie omówione w prognozie, zabrakło natomiast odniesienia do wymienionego aspektu w projekcie POŚ. Należy zatem uwzględnić ochronę gatunkową roślin i zwierząt ,wynikającą z ustawy dnia 16 kwietnia 2004 r. o ochroni przyrody ( Dz.U. z 2016 r. </w:t>
      </w:r>
      <w:proofErr w:type="spellStart"/>
      <w:r>
        <w:t>poz</w:t>
      </w:r>
      <w:proofErr w:type="spellEnd"/>
      <w:r>
        <w:t xml:space="preserve"> 2134, z </w:t>
      </w:r>
      <w:proofErr w:type="spellStart"/>
      <w:r>
        <w:t>późn</w:t>
      </w:r>
      <w:proofErr w:type="spellEnd"/>
      <w:r>
        <w:t>. zm.), mającą na celu zapewnienie przetrwania i właściwego stanu okazów gatunków oraz ich siedlisk i ostoi; wymagane jest przestrzeganie zapisów ww. ustawy dotyczących zakazów oraz odstępstw od zakazów w odniesieniu do ww. gatunków oraz wydanych na jej podstawie przepisów wykonawczych, zwłaszcza:</w:t>
      </w:r>
    </w:p>
    <w:p w:rsidR="00C374E5" w:rsidRDefault="00C374E5" w:rsidP="00C374E5">
      <w:pPr>
        <w:pStyle w:val="Akapit"/>
        <w:numPr>
          <w:ilvl w:val="0"/>
          <w:numId w:val="33"/>
        </w:numPr>
      </w:pPr>
      <w:r>
        <w:t xml:space="preserve">Rozporządzenia Ministra Środowiska z dnia 16 grudnia 2016 w sprawie ochrony gatunkowej zwierząt ( Dz. U. z 2016 r., </w:t>
      </w:r>
      <w:proofErr w:type="spellStart"/>
      <w:r>
        <w:t>poz</w:t>
      </w:r>
      <w:proofErr w:type="spellEnd"/>
      <w:r>
        <w:t xml:space="preserve"> 2183),</w:t>
      </w:r>
    </w:p>
    <w:p w:rsidR="00C374E5" w:rsidRDefault="00C374E5" w:rsidP="00C374E5">
      <w:pPr>
        <w:pStyle w:val="Akapit"/>
        <w:numPr>
          <w:ilvl w:val="0"/>
          <w:numId w:val="33"/>
        </w:numPr>
      </w:pPr>
      <w:r>
        <w:t>Rozporządzenie Ministra Środowiska z dnia 9 października 2014 r. w sprawie ochrony gatunkowej roślin (Dz.U. z 2014 r., poz. 1409),</w:t>
      </w:r>
    </w:p>
    <w:p w:rsidR="00C374E5" w:rsidRPr="004E4C30" w:rsidRDefault="00C374E5" w:rsidP="00C374E5">
      <w:pPr>
        <w:pStyle w:val="Akapit"/>
        <w:numPr>
          <w:ilvl w:val="0"/>
          <w:numId w:val="33"/>
        </w:numPr>
      </w:pPr>
      <w:r>
        <w:t>Rozporządzenie Ministra Środowiska z dnia 9 października 2014 r. w sprawie ochrony gatunkowej grzybów (Dz.U. z 2014 r. poz. 1408).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6:</w:t>
      </w:r>
    </w:p>
    <w:p w:rsidR="00C374E5" w:rsidRPr="00014D62" w:rsidRDefault="00C374E5" w:rsidP="00C374E5">
      <w:pPr>
        <w:pStyle w:val="Akapit"/>
      </w:pPr>
      <w:r>
        <w:t>W rozdziale „Formy ochrony przyrody” dodane zostały informacje o aktach prawnych regulujących ochronę gatunkową zwierząt, roślin oraz grzybów 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7:</w:t>
      </w:r>
    </w:p>
    <w:p w:rsidR="00C374E5" w:rsidRDefault="00C374E5" w:rsidP="00C374E5">
      <w:pPr>
        <w:pStyle w:val="Akapit"/>
      </w:pPr>
      <w:r>
        <w:t xml:space="preserve">W zadaniach Programu brakuje uwzględnienia ochrony </w:t>
      </w:r>
      <w:proofErr w:type="spellStart"/>
      <w:r>
        <w:t>zadrzewień</w:t>
      </w:r>
      <w:proofErr w:type="spellEnd"/>
      <w:r>
        <w:t xml:space="preserve">, </w:t>
      </w:r>
      <w:proofErr w:type="spellStart"/>
      <w:r>
        <w:t>zakrzewień</w:t>
      </w:r>
      <w:proofErr w:type="spellEnd"/>
      <w:r>
        <w:t>, terenów zieleni naturalnej; w tym aspekcie wskazać na ponowną zmianę w przepisach prawa; od 17 czerwca 2017 r. obowiązują nowe przepisy związane z usuwaniem drzew i krzewów, wprowadzona na mocy ustawy z 11 maja 2017 r. o zmianie ustawy o ochronie przyrody (Dz. U. poz. 1074); zagadnienie powiązać z planowaniem przestrzennym wskazując na konieczność pozostawiania powierzchni biologicznie czynnej, zieleni odpowiedniej szerokości (jako izolacja i metoda ograniczania hałasu) przy projektowaniu dróg itp.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7:</w:t>
      </w:r>
    </w:p>
    <w:p w:rsidR="00C374E5" w:rsidRPr="00AF1DB5" w:rsidRDefault="00C374E5" w:rsidP="00C374E5">
      <w:pPr>
        <w:pStyle w:val="Akapit"/>
      </w:pPr>
      <w:r>
        <w:t xml:space="preserve">Uwaga częściowo uwzględniona. W tabeli 13 Programu zostało dodane zadanie dotyczące ochrony </w:t>
      </w:r>
      <w:proofErr w:type="spellStart"/>
      <w:r>
        <w:t>zadrzewień</w:t>
      </w:r>
      <w:proofErr w:type="spellEnd"/>
      <w:r>
        <w:t xml:space="preserve"> i </w:t>
      </w:r>
      <w:proofErr w:type="spellStart"/>
      <w:r>
        <w:t>zakrzewień</w:t>
      </w:r>
      <w:proofErr w:type="spellEnd"/>
      <w:r>
        <w:t xml:space="preserve"> oraz terenów zieleni. </w:t>
      </w:r>
    </w:p>
    <w:p w:rsidR="00C374E5" w:rsidRDefault="00C374E5" w:rsidP="00C374E5">
      <w:pPr>
        <w:spacing w:after="0" w:line="240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lastRenderedPageBreak/>
        <w:t>Uwaga nr 8:</w:t>
      </w:r>
    </w:p>
    <w:p w:rsidR="00C374E5" w:rsidRPr="00AB4976" w:rsidRDefault="00C374E5" w:rsidP="00C374E5">
      <w:pPr>
        <w:pStyle w:val="Akapit"/>
      </w:pPr>
      <w:r>
        <w:t xml:space="preserve">Rozdział projektu dokumentu oraz odpowiedni rozdział w prognozie dotyczące gospodarki JCWP i </w:t>
      </w:r>
      <w:proofErr w:type="spellStart"/>
      <w:r>
        <w:t>JCWPd</w:t>
      </w:r>
      <w:proofErr w:type="spellEnd"/>
      <w:r>
        <w:t xml:space="preserve"> uzupełnić o nowe uwarunkowania prawne, mianowicie: nastąpiła aktualizacja planów gospodarowania wodami na obszarach dorzeczy Wisły, Odry, Dniestru, Dunaju, Niemna, Łaby, Świeżej, </w:t>
      </w:r>
      <w:proofErr w:type="spellStart"/>
      <w:r>
        <w:t>Jarft</w:t>
      </w:r>
      <w:proofErr w:type="spellEnd"/>
      <w:r>
        <w:t xml:space="preserve">, Pregoły, </w:t>
      </w:r>
      <w:proofErr w:type="spellStart"/>
      <w:r>
        <w:t>Ucker</w:t>
      </w:r>
      <w:proofErr w:type="spellEnd"/>
      <w:r>
        <w:t xml:space="preserve">, w skrócie </w:t>
      </w:r>
      <w:proofErr w:type="spellStart"/>
      <w:r>
        <w:t>aPGW</w:t>
      </w:r>
      <w:proofErr w:type="spellEnd"/>
      <w:r>
        <w:t xml:space="preserve"> (przyjęta przez Radę Ministrów rozporządzeniem z dnia 18.10.2016 r. ) – plany te są dokumentami strategicznymi, które opisują stan wód w Polsce, wyznaczają cele i zalecane zadania prowadzące do osiągniecia dobrego stanu wód. Aktualizacje PGW zawierają również listę inwestycji, które mogą pogorszyć stan wód, ale są niezbędne dla rozwoju gospodarki i przewidują kompensację wpływu środowiskowego. Przyjęte przez radę Ministrów </w:t>
      </w:r>
      <w:proofErr w:type="spellStart"/>
      <w:r>
        <w:t>aPGW</w:t>
      </w:r>
      <w:proofErr w:type="spellEnd"/>
      <w:r>
        <w:t xml:space="preserve"> zawierają m.in. zaktualizowaną listę inwestycji mogących oddziaływać negatywnie na stan wód w Polsce oraz cele środowiskowe dla jednolitych części wód i obszarów chronionych, które powinniśmy osiągnąć. Ustalenia planu gospodarowania wodami uwzględnia się w koncepcji przestrzennego zagospodarowania kraju, strategii rozwoju województwa, planach zagospodarowania przestrzennego województwa, studium uwarunkowań i kierunków zagospodarowania przestrzennego gminy oraz w miejscowych planach zagospodarowania przestrzennego.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8:</w:t>
      </w:r>
    </w:p>
    <w:p w:rsidR="00C374E5" w:rsidRPr="0004146D" w:rsidRDefault="00C374E5" w:rsidP="00C374E5">
      <w:pPr>
        <w:pStyle w:val="Akapit"/>
      </w:pPr>
      <w:r>
        <w:t>Rozdział „Spójność z dokumentami strategicznymi i programowymi” został uzupełniony o „Plan gospodarowania wodami na obszarze dorzecza Wisły” wraz z celami i</w:t>
      </w:r>
      <w:r w:rsidR="00D83C2C">
        <w:t> </w:t>
      </w:r>
      <w:r>
        <w:t>zadaniami w nim zawartymi..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9:</w:t>
      </w:r>
    </w:p>
    <w:p w:rsidR="00C374E5" w:rsidRPr="00B909DC" w:rsidRDefault="00C374E5" w:rsidP="00C374E5">
      <w:pPr>
        <w:pStyle w:val="Akapit"/>
      </w:pPr>
      <w:r>
        <w:t xml:space="preserve">Zagadnienie dotyczące JCWP i </w:t>
      </w:r>
      <w:proofErr w:type="spellStart"/>
      <w:r>
        <w:t>JCWPd</w:t>
      </w:r>
      <w:proofErr w:type="spellEnd"/>
      <w:r>
        <w:t xml:space="preserve"> uzupełnić, wskazując na nowe obowiązki spoczywające na inwestorach realizujących przedsięwzięcia współfinansowane z krajowych, lub regionalnych programów operacyjnych; jest to obowiązek uzyskiwania tzw. Deklaracji wodnych, stanowiących potwierdzenie, że projektowane przedsięwzięcie nie będzie miało negatywnego wpływu na stan jednolitych części wód podziemnych (</w:t>
      </w:r>
      <w:proofErr w:type="spellStart"/>
      <w:r>
        <w:t>JCWPd</w:t>
      </w:r>
      <w:proofErr w:type="spellEnd"/>
      <w:r>
        <w:t>) i</w:t>
      </w:r>
      <w:r w:rsidR="00D83C2C">
        <w:t> </w:t>
      </w:r>
      <w:r>
        <w:t>powierzchniowych (JCWP) na wszystkich etapach jego realizacji. Nowe obowiązki wynikają z</w:t>
      </w:r>
      <w:r w:rsidR="00D83C2C">
        <w:t> </w:t>
      </w:r>
      <w:r>
        <w:t xml:space="preserve">Dyrektywy 2000/60/We Parlamentu Europejskiego i Rady z dnia 23 października 2000 r. ustanawiającej ramy wspólnotowego działania w dziedzinie polityki wodnej (Dz.U.UE.L..327.1) oraz wytycznych Ministra Infrastruktury i Rozwoju z dnia 19 października </w:t>
      </w:r>
      <w:r>
        <w:lastRenderedPageBreak/>
        <w:t xml:space="preserve">2015 r. w zakresie dokumentowania współfinansowanych z krajowych lub regionalnych programów operacyjnych.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9:</w:t>
      </w:r>
    </w:p>
    <w:p w:rsidR="00C374E5" w:rsidRPr="000561D2" w:rsidRDefault="00C374E5" w:rsidP="00C374E5">
      <w:pPr>
        <w:pStyle w:val="Akapit"/>
      </w:pPr>
      <w:r>
        <w:t xml:space="preserve">Uwaga nieuwzględniona. Program Ochrony Środowiska nie stanowi wykładni prawa. Podczas realizacji inwestycji inwestor będzie postępował zgodnie </w:t>
      </w:r>
      <w:r w:rsidRPr="003750A1">
        <w:t>z przepisami prawa</w:t>
      </w:r>
      <w:r>
        <w:t xml:space="preserve"> obowiązującymi w czasie jej realizacji.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10:</w:t>
      </w:r>
    </w:p>
    <w:p w:rsidR="00C374E5" w:rsidRPr="009320AB" w:rsidRDefault="00C374E5" w:rsidP="00C374E5">
      <w:pPr>
        <w:pStyle w:val="Akapit"/>
      </w:pPr>
      <w:r>
        <w:t>Rozdział dotyczący gospodarki wodno-ściekowej projektowanego Programu uzupełnić poprzez podanie informacji, czy gmina Mrągowo jest objęta KPOŚK. W kwietniu 2016 r. Rada Ministrów zatwierdziła kolejna już, czwartą aktualizację Krajowego programu oczyszczania ścieków komunalnych. KPOŚK stanowi podstawowy instrument wdrażania przez Polskę dyrektywy Rady 91/271/EWG z dnia 21 maja 1991 r. dot. oczyszczania ścieków komunalnych. Obecnie trwają uzgodnienia dla projektu piątek aktualizacji KPOŚK, wraz z oceną skutków regulacji (OSR) dla przedmiotowego projektu. Projekt Programu oraz załączniki znajdują się na stronie Ministerstwa Środowiska (miernik: liczba wybudowanych zmodernizowanych lub rozbudowanych oczyszczalni ścieków, liczba mieszkańców korzystająca z systemów kanalizacji zbiorczej, liczba wybudowanych kilometrów sieci kanalizacyjnej).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10:</w:t>
      </w:r>
    </w:p>
    <w:p w:rsidR="00C374E5" w:rsidRPr="0004146D" w:rsidRDefault="00C374E5" w:rsidP="00C374E5">
      <w:pPr>
        <w:pStyle w:val="Akapit"/>
      </w:pPr>
      <w:r>
        <w:t xml:space="preserve">Rozdział „Spójność z dokumentami strategicznymi i programowymi” został uzupełniony o </w:t>
      </w:r>
      <w:r w:rsidR="006C0903">
        <w:t>zapisy dot. „Krajowego</w:t>
      </w:r>
      <w:r>
        <w:t xml:space="preserve"> programu oczyszczania ścieków komunalnych” wraz z</w:t>
      </w:r>
      <w:r w:rsidR="006C0903">
        <w:t> </w:t>
      </w:r>
      <w:r>
        <w:t>celami i</w:t>
      </w:r>
      <w:r w:rsidR="006C0903">
        <w:t> </w:t>
      </w:r>
      <w:r>
        <w:t>zadaniami zawartymi w opracowaniu.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11:</w:t>
      </w:r>
    </w:p>
    <w:p w:rsidR="00C374E5" w:rsidRPr="00396AE8" w:rsidRDefault="00C374E5" w:rsidP="00C374E5">
      <w:pPr>
        <w:pStyle w:val="Akapit"/>
      </w:pPr>
      <w:r>
        <w:t>Rozdział dotyczący złóż surowców mineralnych powiązać z dokumentami planistycznymi w gminie, wskazując na obowiązek wynikający z art. 95 ustawy prawo geologiczne i górnicze: Udokumentowane złoża kopalin oraz udokumentowane wody podziemne, w granicach projektowanych, a także udokumentowane kompleksy podziemnego składowania dwutlenku węgla, w celu ich ochrony ujawnia się w studiach uwarunkowań i kierunków zagospodarowania przestrzennego gmin, miejscowych planach zagospodarowania przestrzennego oraz planach zagospodarowania przestrzennego województwa.</w:t>
      </w:r>
    </w:p>
    <w:p w:rsidR="00C374E5" w:rsidRDefault="00C374E5" w:rsidP="00C374E5">
      <w:pPr>
        <w:spacing w:after="0" w:line="240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lastRenderedPageBreak/>
        <w:t>Uwzględnienie uwagi nr 11:</w:t>
      </w:r>
    </w:p>
    <w:p w:rsidR="00C374E5" w:rsidRPr="00560562" w:rsidRDefault="00C374E5" w:rsidP="00C374E5">
      <w:pPr>
        <w:pStyle w:val="Akapit"/>
      </w:pPr>
      <w:r>
        <w:t>Uwaga nieuwzględniona.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12:</w:t>
      </w:r>
    </w:p>
    <w:p w:rsidR="00C374E5" w:rsidRDefault="00C374E5" w:rsidP="00C374E5">
      <w:pPr>
        <w:pStyle w:val="Akapit"/>
      </w:pPr>
      <w:r w:rsidRPr="00F93BCA">
        <w:t xml:space="preserve">Uzupełnić i rozwinąć informacje w zakresie OZE na terenie gminy. Wiedza w tym zakresie jest bardzo istotna dla potencjalnych inwestorów. Wprawdzie wskazano, że gmina nie planuje inwestycji na energetykę wiatrową, co jednak nie wyklucza złożenia wniosku przez inwestora; odnośnie energetyki wiatrowej wskazać na zmiany w przepisach prawa w tym zakresie: 16 lipca 2016 r. weszła w życie ustawa z dnia 20 maja 2016 r. o inwestycjach w zakresie elektrowni wiatrowych (Dz.U z 2016 r. poz.961). Ustawa określa warunki i tryb lokalizacji oraz budowy takich instalacji, jak również warunki ich lokalizacji w sąsiedztwie zabudowy </w:t>
      </w:r>
      <w:r>
        <w:t xml:space="preserve">mieszkaniowej. Przyjęcie ustawy podyktowane jest faktem, że instalacje te były lokalizowane zbyt blisko budynków mieszkalnych. Nowe przepisy m.in. wprowadzają definicję elektrowni wiatrowej. Zgodnie z ustawą, instalacje tego typu mogą być lokalizowane wyłącznie na podstawie miejscowego planu zagospodarowania przestrzennego. Odległość, w której mogą być lokalizowane i budowane: </w:t>
      </w:r>
    </w:p>
    <w:p w:rsidR="00C374E5" w:rsidRDefault="00C374E5" w:rsidP="00C374E5">
      <w:pPr>
        <w:pStyle w:val="Akapit"/>
      </w:pPr>
      <w:r>
        <w:t xml:space="preserve">Elektrownia wiatrowa –od budynku mieszkalnego albo budynku o funkcji mieszkalnej w skład której wchodzi funkcja mieszkaniowa, oraz </w:t>
      </w:r>
    </w:p>
    <w:p w:rsidR="00C374E5" w:rsidRPr="00083E54" w:rsidRDefault="00C374E5" w:rsidP="00C374E5">
      <w:pPr>
        <w:pStyle w:val="Akapit"/>
      </w:pPr>
      <w:r>
        <w:t xml:space="preserve">Budynek mieszkalny albo budynek o funkcji mieszkalnej, w skład której wchodzi funkcja mieszkaniowa – od elektrowni wiatrowej– jest równa lub większa od dziesięciokrotności wysokości elektrowni wiatrowej mierzonej od poziomu gruntu do najwyższego punktu budowli, wliczając elementy techniczne, w szczególności wirnik wraz z łopatami (całkowita wysokości elektrowni wiatrowej). Odległość, o której mowa w ust. 1, wymagana jest również przy lokalizacji i budowie elektrowni wiatrowej od form ochrony przyrody, o których mowa w art. 6 ust. 1 pkt 1-3 i 5ustawy z dnia 16 kwietnia 2004 r. o ochronie przyrody (oraz od leśnych kompleksów promocyjnych, o których mowa w art. 13 b ust.1 ustawy z dnia 28 września 1991 r. o lasach), przy czym ustanawianie </w:t>
      </w:r>
      <w:proofErr w:type="spellStart"/>
      <w:r>
        <w:t>tyvh</w:t>
      </w:r>
      <w:proofErr w:type="spellEnd"/>
      <w:r>
        <w:t xml:space="preserve"> form ochrony przyrody oraz leśnych kompleksów promocyjnych nie wymaga zachowania tych odległości. Ustawa pozwala na przebudowę, nadbudowę, rozbudowę, remont, montaż i odbudowę budynku mieszkalnego stojącego w odległości mniejszej niż wyżej opisana. Nowe przepisy dotyczą elektrowni wiatrowych o mocy większej niż 40 kW, czyli nie obejmują </w:t>
      </w:r>
      <w:proofErr w:type="spellStart"/>
      <w:r>
        <w:t>mikroinstalacji</w:t>
      </w:r>
      <w:proofErr w:type="spellEnd"/>
      <w:r>
        <w:t xml:space="preserve">. W myśl ustawy, nie będzie można rozbudowywać istniejących wiatraków, które nie spełniają kryterium odległości – dozwolony będzie tylko ich remont i prace </w:t>
      </w:r>
      <w:r>
        <w:lastRenderedPageBreak/>
        <w:t xml:space="preserve">niezbędne do prawidłowego użytkowania. Możliwa będzie budowa domów mieszkalnych w mniejszej odległości od elektrowni wiatrowej niż wymagana, jeżeli takie inwestycje są uwzględnione w obowiązujących planach zagospodarowania przestrzennego. W sytuacji, gdy takich dokumentów nie ma, gminy będą miały 36 miesięcy na uchwalenie – na dotychczasowych zasadach- planów miejscowych przywidujących lokalizację budynków mieszkalnych.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12:</w:t>
      </w:r>
    </w:p>
    <w:p w:rsidR="00C374E5" w:rsidRPr="003750A1" w:rsidRDefault="00C374E5" w:rsidP="00C374E5">
      <w:pPr>
        <w:pStyle w:val="Akapit"/>
      </w:pPr>
      <w:r w:rsidRPr="003750A1">
        <w:t xml:space="preserve">Uwaga nieuwzględniona. </w:t>
      </w:r>
      <w:r>
        <w:t xml:space="preserve">Program Ochrony Środowiska nie stanowi wykładni prawa. </w:t>
      </w:r>
      <w:r w:rsidRPr="003750A1">
        <w:t xml:space="preserve">W przypadku </w:t>
      </w:r>
      <w:r>
        <w:t>realizacji</w:t>
      </w:r>
      <w:r w:rsidRPr="003750A1">
        <w:t xml:space="preserve"> inwestycji polegającej na budowie farmy wiatrowej, inwestor</w:t>
      </w:r>
      <w:r w:rsidRPr="00300F9C">
        <w:t xml:space="preserve"> </w:t>
      </w:r>
      <w:r>
        <w:t xml:space="preserve">będzie postępował zgodnie </w:t>
      </w:r>
      <w:r w:rsidRPr="003750A1">
        <w:t>z przepisami prawa</w:t>
      </w:r>
      <w:r>
        <w:t xml:space="preserve"> obowiązującymi w czasie jej realizacji</w:t>
      </w:r>
      <w:r w:rsidRPr="003750A1">
        <w:t xml:space="preserve">. 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13:</w:t>
      </w:r>
    </w:p>
    <w:p w:rsidR="00C374E5" w:rsidRDefault="00C374E5" w:rsidP="00C374E5">
      <w:pPr>
        <w:pStyle w:val="Akapit"/>
      </w:pPr>
      <w:r>
        <w:t xml:space="preserve">Powyższe zagadnienia (dotyczące OZE) uzupełnić w zakresie inwestycji fotowoltaicznych, które stanowią przedsięwzięcia, o ile spełniają kryteria zawarte w rozporządzeniu Rady Ministrów z dnia 9 listopada 2010 r. w sprawie przedsięwzięć mogących znacząco oddziaływać na środowisko (Dz.U. z 2016r. poz. 71). Systemy fotowoltaiczne zaliczone zostały do zabudowy przemysłowej: </w:t>
      </w:r>
    </w:p>
    <w:p w:rsidR="00C374E5" w:rsidRDefault="00C374E5" w:rsidP="00C374E5">
      <w:pPr>
        <w:pStyle w:val="Akapit"/>
      </w:pPr>
      <w:r>
        <w:t>Zabudowa przemysłowa, w tym zabudowa systemami fotowoltaicznymi, lub magazynowa, wraz z towarzyszącą jej infrastrukturą o powierzchni zabudowy nie mniejszej niż:</w:t>
      </w:r>
    </w:p>
    <w:p w:rsidR="00C374E5" w:rsidRDefault="00C374E5" w:rsidP="00C374E5">
      <w:pPr>
        <w:pStyle w:val="Akapit"/>
        <w:numPr>
          <w:ilvl w:val="0"/>
          <w:numId w:val="30"/>
        </w:numPr>
      </w:pPr>
      <w:r>
        <w:t>0,5 ha na obszarach objętych formami ochrony przyrody, o których mowa w art. 6 ust 1 pkt 1-5, 8 i 9 ustawy z dnia 16 kwietnia 2004 r. o ochronie przyrody, lub w otulinach form ochrony przyrody, o których mowa w art. 6 ust. 1. pkt 1-3 tej ustawy,</w:t>
      </w:r>
    </w:p>
    <w:p w:rsidR="00C374E5" w:rsidRDefault="00C374E5" w:rsidP="00C374E5">
      <w:pPr>
        <w:pStyle w:val="Akapit"/>
        <w:numPr>
          <w:ilvl w:val="0"/>
          <w:numId w:val="30"/>
        </w:numPr>
      </w:pPr>
      <w:r>
        <w:t xml:space="preserve">1 ha na obszarach innych niż wymienione w lit a –przy czym przez powierzchnię zabudowy rozumie się powierzchnię terenu zajętą przez obiekty budowlane oraz pozostałą powierzchnię przeznaczoną do przekształcenia w wyniku realizacji przedsięwzięcia. </w:t>
      </w:r>
    </w:p>
    <w:p w:rsidR="00C374E5" w:rsidRPr="00EE3172" w:rsidRDefault="00C374E5" w:rsidP="00C374E5">
      <w:pPr>
        <w:pStyle w:val="Akapit"/>
        <w:ind w:left="1069" w:firstLine="0"/>
      </w:pPr>
      <w:r>
        <w:t xml:space="preserve">Powyższy zapis </w:t>
      </w:r>
      <w:proofErr w:type="spellStart"/>
      <w:r>
        <w:t>ozancza</w:t>
      </w:r>
      <w:proofErr w:type="spellEnd"/>
      <w:r>
        <w:t xml:space="preserve">, iż wszystkie systemy fotowoltaiczne spełniają </w:t>
      </w:r>
      <w:proofErr w:type="spellStart"/>
      <w:r>
        <w:t>ww.kryteria</w:t>
      </w:r>
      <w:proofErr w:type="spellEnd"/>
      <w:r>
        <w:t xml:space="preserve"> stanowią przedsięwzięcia mogące potencjalnie znacząco oddziaływać na środowisko w rozumieniu przepisów prawa.</w:t>
      </w:r>
    </w:p>
    <w:p w:rsidR="00C374E5" w:rsidRDefault="00C374E5" w:rsidP="00C374E5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lastRenderedPageBreak/>
        <w:t>Uwzględnienie uwagi nr 13:</w:t>
      </w:r>
    </w:p>
    <w:p w:rsidR="00C374E5" w:rsidRPr="003750A1" w:rsidRDefault="00C374E5" w:rsidP="00C374E5">
      <w:pPr>
        <w:pStyle w:val="Akapit"/>
      </w:pPr>
      <w:r w:rsidRPr="003750A1">
        <w:t xml:space="preserve">Uwaga nieuwzględniona. </w:t>
      </w:r>
      <w:r>
        <w:t>Program Ochrony Środowiska nie stanowi wykładni prawa.</w:t>
      </w:r>
      <w:r w:rsidRPr="003750A1">
        <w:t xml:space="preserve"> W przypadku </w:t>
      </w:r>
      <w:r>
        <w:t>realizacji</w:t>
      </w:r>
      <w:r w:rsidRPr="003750A1">
        <w:t xml:space="preserve"> inwestycji polegającej na budowie farmy </w:t>
      </w:r>
      <w:r>
        <w:t>fotowoltaicznej</w:t>
      </w:r>
      <w:r w:rsidRPr="003750A1">
        <w:t xml:space="preserve">, inwestor </w:t>
      </w:r>
      <w:r>
        <w:t xml:space="preserve">będzie postępował zgodnie </w:t>
      </w:r>
      <w:r w:rsidRPr="003750A1">
        <w:t>z przepisami prawa</w:t>
      </w:r>
      <w:r>
        <w:t xml:space="preserve"> obowiązującymi w czasie jej realizacji</w:t>
      </w:r>
      <w:r w:rsidRPr="003750A1">
        <w:t xml:space="preserve">.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14:</w:t>
      </w:r>
    </w:p>
    <w:p w:rsidR="00C374E5" w:rsidRDefault="00C374E5" w:rsidP="00C374E5">
      <w:pPr>
        <w:pStyle w:val="Akapit"/>
      </w:pPr>
      <w:r>
        <w:t xml:space="preserve">W prognozie należałoby również zwrócić uwagę, że wydobywanie kopalin może stanowić przedsięwzięcie, wymienione w rozporządzeniu Rady ministrów z dnia 9 listopada 2010 r. w sprawie przedsięwzięć mogących znacząco oddziaływać na środowisko (Dz.U. z 2016 r., </w:t>
      </w:r>
      <w:proofErr w:type="spellStart"/>
      <w:r>
        <w:t>poz</w:t>
      </w:r>
      <w:proofErr w:type="spellEnd"/>
      <w:r>
        <w:t xml:space="preserve"> .71). Zgodnie bowiem z § 2 ust. 1 pkt 27 wydobywanie kopalin ze złoża metodą:</w:t>
      </w:r>
    </w:p>
    <w:p w:rsidR="00C374E5" w:rsidRDefault="00C374E5" w:rsidP="00C374E5">
      <w:pPr>
        <w:pStyle w:val="Akapit"/>
        <w:numPr>
          <w:ilvl w:val="0"/>
          <w:numId w:val="31"/>
        </w:numPr>
      </w:pPr>
      <w:r>
        <w:t>Odkrywkową na powierzchni obszaru górniczego nie mniejszej niż 25 ha,</w:t>
      </w:r>
    </w:p>
    <w:p w:rsidR="00C374E5" w:rsidRDefault="00C374E5" w:rsidP="00C374E5">
      <w:pPr>
        <w:pStyle w:val="Akapit"/>
        <w:numPr>
          <w:ilvl w:val="0"/>
          <w:numId w:val="31"/>
        </w:numPr>
      </w:pPr>
      <w:r w:rsidRPr="001A0B73">
        <w:t>Podziemną o wydobyciu kopalin nie mniejszym niż 100 000 m3 /rok, lub też zgodnie z § 3 ust.1 pkt 40 a i b</w:t>
      </w:r>
    </w:p>
    <w:p w:rsidR="00C374E5" w:rsidRDefault="00C374E5" w:rsidP="00C374E5">
      <w:pPr>
        <w:pStyle w:val="Akapit"/>
        <w:numPr>
          <w:ilvl w:val="0"/>
          <w:numId w:val="31"/>
        </w:numPr>
      </w:pPr>
      <w:r w:rsidRPr="001A0B73">
        <w:t xml:space="preserve">Wydobywanie </w:t>
      </w:r>
      <w:r>
        <w:t>kopalin ze złoża metodą odkrywkową inne niż wymienione w z § 2 ust. 1 pkt 27 lit a: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Bez względu na powierzchnię obszaru górniczego;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Jeżeli dotyczy torfu lub kredy jeziornej;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Na obszarach narażonych na niebezpieczeństwo powodzi, a jeżeli została sporządzona mapa zagrożenie powodziowego, na obszarach, o których mowa w art. 88.d ust. 2. Pkt 2 i 3 ustawy z dnia 18 lipca 2001 r. – prawo wodne;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Na terenie gruntów leśnych lub w odległości nie większej niż 100 m od nich,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Na obszarach objętych formami ochrony przyrody, o których mowa w art. 6 ust. 1 pkt 1-5, 8 i 9 ustawy z dnia 16 kwietnia 2004 r. o ochronie przyrody, lub otulinach form ochrony przyrody, o których mowa w art. 6 ust. 1 pkt 1-3 tej ustawy;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W odległości nie większej niż 250 m od terenów, o których mowa w art. 1113 ust. 2 pkt 1 ustawy z dnia 27 kwietnia 2001 r. – prawo ochrony środowiska,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t>Jeżeli działalność będzie prowadzona z użyciem materiałów wybuchowych,</w:t>
      </w:r>
    </w:p>
    <w:p w:rsidR="00C374E5" w:rsidRDefault="00C374E5" w:rsidP="00C374E5">
      <w:pPr>
        <w:pStyle w:val="Akapit"/>
        <w:numPr>
          <w:ilvl w:val="0"/>
          <w:numId w:val="32"/>
        </w:numPr>
      </w:pPr>
      <w:r>
        <w:lastRenderedPageBreak/>
        <w:t>Jeżeli w odległości nie większej niż 0,5 km od miejsca planowanego wydobywania kopalin metodą odkrywkową</w:t>
      </w:r>
    </w:p>
    <w:p w:rsidR="00C374E5" w:rsidRDefault="00C374E5" w:rsidP="00C374E5">
      <w:pPr>
        <w:rPr>
          <w:b/>
        </w:rPr>
      </w:pPr>
      <w:r>
        <w:rPr>
          <w:b/>
        </w:rPr>
        <w:t>Uwzględnienie uwagi nr 14:</w:t>
      </w:r>
    </w:p>
    <w:p w:rsidR="00C374E5" w:rsidRDefault="00C374E5" w:rsidP="00C374E5">
      <w:pPr>
        <w:pStyle w:val="Akapit"/>
      </w:pPr>
      <w:r w:rsidRPr="003750A1">
        <w:t xml:space="preserve">Uwaga nieuwzględniona. </w:t>
      </w:r>
      <w:r>
        <w:t>Program Ochrony Środowiska nie stanowi wykładni prawa.</w:t>
      </w:r>
      <w:r w:rsidRPr="003750A1">
        <w:t xml:space="preserve"> W przypadku </w:t>
      </w:r>
      <w:r>
        <w:t>realizacji</w:t>
      </w:r>
      <w:r w:rsidRPr="003750A1">
        <w:t xml:space="preserve"> inwestycji polegającej na </w:t>
      </w:r>
      <w:r>
        <w:t>eksploatacji złóż kopalin</w:t>
      </w:r>
      <w:r w:rsidRPr="003750A1">
        <w:t xml:space="preserve">, inwestor </w:t>
      </w:r>
      <w:r>
        <w:t xml:space="preserve">będzie postępował zgodnie </w:t>
      </w:r>
      <w:r w:rsidRPr="003750A1">
        <w:t>z przepisami prawa</w:t>
      </w:r>
      <w:r>
        <w:t xml:space="preserve"> obowiązującymi w czasie jej realizacji</w:t>
      </w:r>
      <w:r w:rsidRPr="003750A1">
        <w:t>.</w:t>
      </w:r>
    </w:p>
    <w:p w:rsidR="00C374E5" w:rsidRPr="00BF2EDB" w:rsidRDefault="00C374E5" w:rsidP="00C374E5">
      <w:pPr>
        <w:pStyle w:val="Akapit"/>
        <w:rPr>
          <w:b/>
        </w:rPr>
      </w:pPr>
      <w:r w:rsidRPr="00BF2EDB">
        <w:rPr>
          <w:b/>
        </w:rPr>
        <w:t>Uwaga nr 15:</w:t>
      </w:r>
    </w:p>
    <w:p w:rsidR="00C374E5" w:rsidRDefault="00C374E5" w:rsidP="00C374E5">
      <w:pPr>
        <w:pStyle w:val="Akapit"/>
      </w:pPr>
      <w:r>
        <w:t>Rozdział dotyczący gospodarki odpadami uzupełnić o następujące elementy:</w:t>
      </w:r>
    </w:p>
    <w:p w:rsidR="00C374E5" w:rsidRDefault="00C374E5" w:rsidP="00C374E5">
      <w:pPr>
        <w:pStyle w:val="Akapit"/>
      </w:pPr>
      <w:r>
        <w:t>W zakresie gospodarki odpadami uwzględnić nowe cele:</w:t>
      </w:r>
    </w:p>
    <w:p w:rsidR="00C374E5" w:rsidRDefault="00C374E5" w:rsidP="00C374E5">
      <w:pPr>
        <w:pStyle w:val="Akapit"/>
        <w:numPr>
          <w:ilvl w:val="0"/>
          <w:numId w:val="34"/>
        </w:numPr>
      </w:pPr>
      <w:r>
        <w:t>Gospodarkę w obiegu zamkniętym,</w:t>
      </w:r>
    </w:p>
    <w:p w:rsidR="00C374E5" w:rsidRDefault="00C374E5" w:rsidP="00C374E5">
      <w:pPr>
        <w:pStyle w:val="Akapit"/>
        <w:numPr>
          <w:ilvl w:val="0"/>
          <w:numId w:val="34"/>
        </w:numPr>
      </w:pPr>
      <w:r>
        <w:t>Od 1 lipca 2017 r. wchodzi w życie Wspólny System Segregacji Odpadów (WSSO) obowiązujący na terenie całego kraju:</w:t>
      </w:r>
    </w:p>
    <w:p w:rsidR="00C374E5" w:rsidRDefault="00C374E5" w:rsidP="00C374E5">
      <w:pPr>
        <w:pStyle w:val="Akapit"/>
        <w:numPr>
          <w:ilvl w:val="0"/>
          <w:numId w:val="34"/>
        </w:numPr>
      </w:pPr>
      <w:r>
        <w:t>Gminy powinny zapewnić mieszkańcom jak i na terenach przeznaczonych do użytku publicznego możliwość selektywnej zbiórki odpadów zgodnie z Wspólnym Systemem Segregacji Odpadów; pojemniki oraz worki powinny zabezpieczać odpady przed pogarszaniem jakości zbieranej frakcji dla przyszłych procesów ich przetwarzania;</w:t>
      </w:r>
    </w:p>
    <w:p w:rsidR="00C374E5" w:rsidRDefault="00C374E5" w:rsidP="00C374E5">
      <w:pPr>
        <w:pStyle w:val="Akapit"/>
        <w:numPr>
          <w:ilvl w:val="0"/>
          <w:numId w:val="34"/>
        </w:numPr>
      </w:pPr>
      <w:r>
        <w:t xml:space="preserve">Na wymianę pojemników we właściwych kolorach gminy będą miały 5 lat –maksymalnie do 30 czerwca 2022 roku; obecne pojemni oznacza się oznakowanie, w terminie nie dłuższym niż 6 miesięcy od dnia wejścia w życie WSSO. </w:t>
      </w:r>
    </w:p>
    <w:p w:rsidR="00C374E5" w:rsidRDefault="00C374E5" w:rsidP="00C374E5">
      <w:pPr>
        <w:pStyle w:val="Akapit"/>
        <w:numPr>
          <w:ilvl w:val="0"/>
          <w:numId w:val="34"/>
        </w:numPr>
      </w:pPr>
      <w:r>
        <w:t>Obecnie obowiązująca umowa na odbieranie lub odbieranie i zagospodarowanie odpadów komunalnych od właścicieli nieruchomości, która będzie jeszcze obowiązywała w dniu wejścia w życie Wspólnego Systemu Segregacji Odpadów, zachowuje swoją ważność do czasu, na który została zawarta, jednak nie dłuższy niż do dnia 30 czerwca 2021 r.;</w:t>
      </w:r>
    </w:p>
    <w:p w:rsidR="00C374E5" w:rsidRDefault="00C374E5" w:rsidP="00C374E5">
      <w:pPr>
        <w:pStyle w:val="Akapit"/>
        <w:rPr>
          <w:b/>
        </w:rPr>
      </w:pPr>
      <w:r w:rsidRPr="00BF2EDB">
        <w:rPr>
          <w:b/>
        </w:rPr>
        <w:t>Uwzględnienie uwagi nr 15:</w:t>
      </w:r>
    </w:p>
    <w:p w:rsidR="00C374E5" w:rsidRDefault="00C374E5" w:rsidP="00C374E5">
      <w:pPr>
        <w:pStyle w:val="Akapit"/>
      </w:pPr>
      <w:r>
        <w:t>W rozdziale  „Gospodarka odpadami” dodano informację dot. Wspólnego Systemu Segregacji Odpadów.</w:t>
      </w:r>
    </w:p>
    <w:p w:rsidR="00C374E5" w:rsidRDefault="00C374E5" w:rsidP="00C374E5">
      <w:pPr>
        <w:spacing w:after="0" w:line="240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C374E5" w:rsidRDefault="00C374E5" w:rsidP="00C374E5">
      <w:pPr>
        <w:pStyle w:val="Akapit"/>
        <w:rPr>
          <w:b/>
        </w:rPr>
      </w:pPr>
      <w:r w:rsidRPr="00D10571">
        <w:rPr>
          <w:b/>
        </w:rPr>
        <w:lastRenderedPageBreak/>
        <w:t>Uwaga nr 16:</w:t>
      </w:r>
    </w:p>
    <w:p w:rsidR="00C374E5" w:rsidRDefault="00C374E5" w:rsidP="00C374E5">
      <w:pPr>
        <w:pStyle w:val="Akapit"/>
      </w:pPr>
      <w:r>
        <w:t>Wytyczne, dotyczące POŚ wskazują wyraźnie, iż Gminny organami ochrony środowiska powinien być skoordynowany z :</w:t>
      </w:r>
    </w:p>
    <w:p w:rsidR="00C374E5" w:rsidRPr="00D10571" w:rsidRDefault="00C374E5" w:rsidP="00C374E5">
      <w:pPr>
        <w:pStyle w:val="Akapit"/>
      </w:pPr>
      <w:r>
        <w:t>Miejscowym planem (planami) zagospodarowania przestrzennego, lokalnymi planami rozwoju infrastruktury (jeżeli są): mieszkalnictwa, transportu, zaopatrzenia w energię itp., programem ochrony powietrza, programem ochrony środowiska przez hałasem i programem ochrony wód, programem ochrony zabytków i opieki nad zabytkami jeśli takie programy dla obszarów obejmujących teren danej gminy)zostały lub są opracowywane; przed stawionym POŚ, w rozdziale 3 ograniczono się do wymienienia zaledwie kilku dokumentów; nie uwzględniono projektu założeń do planu zaopatrzenia w ciepło, energię elektryczną i paliwa gazowe dla obszaru Gminy Mrągowo, Strategii rozwoju turystyki Województwa, Strategii rozwoju społeczna gospodarczego obszaru Wielkich Jezior Mazurskich, Strategii rozwoju społeczno-gospodarczego Województwa Warmińsko-Mazurskiego do roku 2025; nie wskazano, czy gmina posiada opracowany plan gospodarki niskoemisyjnej (tak istotny dla rozwiązania problemów gminy);</w:t>
      </w:r>
    </w:p>
    <w:p w:rsidR="00C374E5" w:rsidRDefault="00C374E5" w:rsidP="00C374E5">
      <w:pPr>
        <w:pStyle w:val="Akapit"/>
        <w:rPr>
          <w:b/>
        </w:rPr>
      </w:pPr>
      <w:r w:rsidRPr="00D10571">
        <w:rPr>
          <w:b/>
        </w:rPr>
        <w:t>Uwzględnienie uwagi nr 16:</w:t>
      </w:r>
    </w:p>
    <w:p w:rsidR="00C374E5" w:rsidRPr="009061B7" w:rsidRDefault="00C374E5" w:rsidP="00C374E5">
      <w:pPr>
        <w:pStyle w:val="Akapit"/>
      </w:pPr>
      <w:r>
        <w:t xml:space="preserve">Uzupełniono rozdział „Spójność z dokumentami strategicznymi” o dokumenty na poziomie regionalnym, z którymi spójne są założenia POŚ.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17:</w:t>
      </w:r>
    </w:p>
    <w:p w:rsidR="00C374E5" w:rsidRPr="005F4186" w:rsidRDefault="00C374E5" w:rsidP="00C374E5">
      <w:pPr>
        <w:pStyle w:val="Akapit"/>
      </w:pPr>
      <w:r>
        <w:t>Działania związane z edukacją rozszerzyć o upowszechnianie wiedzy dotyczącej systemów zarządzania środowiskiem w instytucjach, przedsiębiorstwach i organizacjach (np. EMAS) oraz korzyści wynikające z wprowadzania systemów.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17:</w:t>
      </w:r>
    </w:p>
    <w:p w:rsidR="00C374E5" w:rsidRPr="00071290" w:rsidRDefault="00C374E5" w:rsidP="00C374E5">
      <w:pPr>
        <w:pStyle w:val="Akapit"/>
      </w:pPr>
      <w:r>
        <w:t xml:space="preserve">Uwaga nieuwzględniona, gmina nie planuje działań edukacyjnych mających na celu upowszechnianie wiedzy dotyczącej systemów zarządzania środowiskiem. 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Uwaga nr 18:</w:t>
      </w:r>
    </w:p>
    <w:p w:rsidR="00C374E5" w:rsidRPr="00831545" w:rsidRDefault="00C374E5" w:rsidP="00C374E5">
      <w:pPr>
        <w:pStyle w:val="Akapit"/>
      </w:pPr>
      <w:r>
        <w:t>Na stronie 37 prognozy poprawić uchylone rozporządzanie – obowiązuje rozporządzenie Ministra Środowiska z dnia 16 grudnia 2016r. w sprawie ochrony gatunkowej zwierząt.</w:t>
      </w:r>
    </w:p>
    <w:p w:rsidR="00C374E5" w:rsidRDefault="00C374E5" w:rsidP="00C374E5">
      <w:pPr>
        <w:pStyle w:val="Akapit"/>
        <w:rPr>
          <w:b/>
        </w:rPr>
      </w:pPr>
      <w:r>
        <w:rPr>
          <w:b/>
        </w:rPr>
        <w:t>Uwzględnienie uwagi nr 18:</w:t>
      </w:r>
    </w:p>
    <w:p w:rsidR="00C374E5" w:rsidRPr="001B2E98" w:rsidRDefault="00C374E5" w:rsidP="00C374E5">
      <w:pPr>
        <w:pStyle w:val="Akapit"/>
      </w:pPr>
      <w:r>
        <w:t xml:space="preserve">Zaktualizowano zapis dotyczący rozporządzenia w sprawie ochrony gatunkowej zwierząt w tabeli 11 </w:t>
      </w:r>
      <w:r w:rsidRPr="003815BE">
        <w:rPr>
          <w:i/>
        </w:rPr>
        <w:t>Prognozy</w:t>
      </w:r>
      <w:r>
        <w:t>.</w:t>
      </w:r>
    </w:p>
    <w:p w:rsidR="001008A4" w:rsidRDefault="001008A4" w:rsidP="00570B41">
      <w:pPr>
        <w:pStyle w:val="Akapit"/>
        <w:rPr>
          <w:rStyle w:val="BezodstpwZnak"/>
        </w:rPr>
      </w:pPr>
    </w:p>
    <w:p w:rsidR="00234851" w:rsidRDefault="00234851" w:rsidP="00234851">
      <w:pPr>
        <w:pStyle w:val="Nagwek1"/>
      </w:pPr>
      <w:bookmarkStart w:id="7" w:name="_Toc483904009"/>
      <w:r>
        <w:rPr>
          <w:lang w:val="pl-PL"/>
        </w:rPr>
        <w:t>U</w:t>
      </w:r>
      <w:proofErr w:type="spellStart"/>
      <w:r w:rsidRPr="006B3118">
        <w:t>zasadnienie</w:t>
      </w:r>
      <w:proofErr w:type="spellEnd"/>
      <w:r w:rsidRPr="006B3118">
        <w:t xml:space="preserve"> zawierając</w:t>
      </w:r>
      <w:r w:rsidR="00E5255C">
        <w:rPr>
          <w:lang w:val="pl-PL"/>
        </w:rPr>
        <w:t>e</w:t>
      </w:r>
      <w:r w:rsidRPr="006B3118">
        <w:t xml:space="preserve"> informacje o udziale społeczeństwa w postępowaniu oraz o tym, w jaki sposób zostały wzięte pod uwagę i w jakim zakresie zostały uwzględnione uwagi i wnioski zgłoszone w związku z udziałem społeczeństwa</w:t>
      </w:r>
      <w:bookmarkEnd w:id="7"/>
    </w:p>
    <w:p w:rsidR="00413288" w:rsidRDefault="00DD6122" w:rsidP="00DD6122">
      <w:pPr>
        <w:pStyle w:val="Akapit"/>
      </w:pPr>
      <w:r>
        <w:t xml:space="preserve">Na podstawie art. 39 ust. 1 ustawy z dnia 3 października 2008 r. </w:t>
      </w:r>
      <w:r w:rsidRPr="00DD6122">
        <w:rPr>
          <w:i/>
        </w:rPr>
        <w:t>o udostępnianiu informacji o środowisku i jego ochronie, udziale społeczeństwa w ochronie środowiska oraz o ocenach oddziaływania na środowisko</w:t>
      </w:r>
      <w:r>
        <w:t xml:space="preserve">, </w:t>
      </w:r>
      <w:r w:rsidR="00EA2065">
        <w:t xml:space="preserve">przeprowadzone zostało </w:t>
      </w:r>
      <w:r>
        <w:t xml:space="preserve">opiniowanie społeczne </w:t>
      </w:r>
      <w:r w:rsidR="00655073">
        <w:t xml:space="preserve">projektów </w:t>
      </w:r>
      <w:r w:rsidR="00655073" w:rsidRPr="00655073">
        <w:rPr>
          <w:i/>
        </w:rPr>
        <w:t>Programu</w:t>
      </w:r>
      <w:r w:rsidR="00655073">
        <w:t xml:space="preserve"> i </w:t>
      </w:r>
      <w:r w:rsidR="00655073" w:rsidRPr="00655073">
        <w:rPr>
          <w:i/>
        </w:rPr>
        <w:t>Prognozy</w:t>
      </w:r>
      <w:r w:rsidR="00655073">
        <w:t>.</w:t>
      </w:r>
    </w:p>
    <w:p w:rsidR="00C5460F" w:rsidRDefault="000D7389" w:rsidP="00DD6122">
      <w:pPr>
        <w:pStyle w:val="Akapi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color w:val="000000"/>
        </w:rPr>
        <w:t> terminie 21 dni od daty po</w:t>
      </w:r>
      <w:r w:rsidR="00655073">
        <w:rPr>
          <w:rFonts w:asciiTheme="minorHAnsi" w:hAnsiTheme="minorHAnsi"/>
          <w:color w:val="000000"/>
        </w:rPr>
        <w:t xml:space="preserve">dania do publicznej wiadomości </w:t>
      </w:r>
      <w:r>
        <w:rPr>
          <w:rFonts w:asciiTheme="minorHAnsi" w:hAnsiTheme="minorHAnsi"/>
          <w:color w:val="000000"/>
        </w:rPr>
        <w:t>obwieszczenia</w:t>
      </w:r>
      <w:r w:rsidR="00655073">
        <w:rPr>
          <w:rFonts w:asciiTheme="minorHAnsi" w:hAnsiTheme="minorHAnsi"/>
          <w:color w:val="000000"/>
        </w:rPr>
        <w:t xml:space="preserve"> </w:t>
      </w:r>
      <w:r w:rsidR="00C518C2">
        <w:rPr>
          <w:rFonts w:asciiTheme="minorHAnsi" w:hAnsiTheme="minorHAnsi"/>
          <w:color w:val="000000"/>
        </w:rPr>
        <w:t>o </w:t>
      </w:r>
      <w:r w:rsidR="00655073">
        <w:rPr>
          <w:rFonts w:asciiTheme="minorHAnsi" w:hAnsiTheme="minorHAnsi"/>
          <w:color w:val="000000"/>
        </w:rPr>
        <w:t xml:space="preserve">rozpoczęciu procesu opiniowania społecznego przedmiotowych dokumentów tj. od </w:t>
      </w:r>
      <w:r w:rsidR="009F1AA3">
        <w:rPr>
          <w:rFonts w:asciiTheme="minorHAnsi" w:hAnsiTheme="minorHAnsi"/>
          <w:color w:val="000000"/>
        </w:rPr>
        <w:t>14</w:t>
      </w:r>
      <w:r w:rsidR="00167BB4">
        <w:rPr>
          <w:rFonts w:asciiTheme="minorHAnsi" w:hAnsiTheme="minorHAnsi"/>
          <w:color w:val="000000"/>
        </w:rPr>
        <w:t xml:space="preserve"> czerwca</w:t>
      </w:r>
      <w:r w:rsidR="00B377F0">
        <w:rPr>
          <w:rFonts w:asciiTheme="minorHAnsi" w:hAnsiTheme="minorHAnsi"/>
          <w:color w:val="000000"/>
        </w:rPr>
        <w:t xml:space="preserve"> </w:t>
      </w:r>
      <w:r w:rsidR="00655073">
        <w:rPr>
          <w:rFonts w:asciiTheme="minorHAnsi" w:hAnsiTheme="minorHAnsi"/>
          <w:color w:val="000000"/>
        </w:rPr>
        <w:t>201</w:t>
      </w:r>
      <w:r w:rsidR="001F41CE">
        <w:rPr>
          <w:rFonts w:asciiTheme="minorHAnsi" w:hAnsiTheme="minorHAnsi"/>
          <w:color w:val="000000"/>
        </w:rPr>
        <w:t>7</w:t>
      </w:r>
      <w:r w:rsidR="00655073">
        <w:rPr>
          <w:rFonts w:asciiTheme="minorHAnsi" w:hAnsiTheme="minorHAnsi"/>
          <w:color w:val="000000"/>
        </w:rPr>
        <w:t xml:space="preserve"> r.,</w:t>
      </w:r>
      <w:r w:rsidR="00987C54">
        <w:rPr>
          <w:rFonts w:asciiTheme="minorHAnsi" w:hAnsiTheme="minorHAnsi"/>
          <w:color w:val="000000"/>
        </w:rPr>
        <w:t xml:space="preserve"> </w:t>
      </w:r>
      <w:r w:rsidR="001E2C3D">
        <w:rPr>
          <w:rFonts w:asciiTheme="minorHAnsi" w:hAnsiTheme="minorHAnsi"/>
          <w:color w:val="000000"/>
        </w:rPr>
        <w:t xml:space="preserve">nie wniesiono uwag i wniosków do projektów </w:t>
      </w:r>
      <w:r w:rsidR="001E2C3D" w:rsidRPr="00655073">
        <w:rPr>
          <w:i/>
        </w:rPr>
        <w:t>Programu</w:t>
      </w:r>
      <w:r w:rsidR="001E2C3D">
        <w:t xml:space="preserve"> i </w:t>
      </w:r>
      <w:r w:rsidR="001E2C3D" w:rsidRPr="00655073">
        <w:rPr>
          <w:i/>
        </w:rPr>
        <w:t>Prognozy</w:t>
      </w:r>
      <w:r w:rsidR="001E2C3D">
        <w:rPr>
          <w:i/>
        </w:rPr>
        <w:t>.</w:t>
      </w:r>
    </w:p>
    <w:p w:rsidR="005B0EAD" w:rsidRDefault="005B0EAD" w:rsidP="001E2C3D">
      <w:pPr>
        <w:pStyle w:val="Nagwek1"/>
      </w:pPr>
      <w:bookmarkStart w:id="8" w:name="_Toc461018173"/>
      <w:bookmarkStart w:id="9" w:name="_Toc461188826"/>
      <w:bookmarkStart w:id="10" w:name="_Toc483904010"/>
      <w:r>
        <w:t>Informacja o przewidywanym oddziaływaniu transgranicznym</w:t>
      </w:r>
      <w:bookmarkEnd w:id="8"/>
      <w:bookmarkEnd w:id="9"/>
      <w:bookmarkEnd w:id="10"/>
    </w:p>
    <w:p w:rsidR="005B0EAD" w:rsidRDefault="007A7592" w:rsidP="005B0EAD">
      <w:pPr>
        <w:pStyle w:val="Akapity0"/>
      </w:pPr>
      <w:r>
        <w:rPr>
          <w:i/>
        </w:rPr>
        <w:t xml:space="preserve">Program </w:t>
      </w:r>
      <w:r w:rsidR="005B0EAD" w:rsidRPr="001B4374">
        <w:t>nie przewiduje realizacji zadań, które miałyby oddziaływanie transgraniczne</w:t>
      </w:r>
      <w:r w:rsidR="005B0EAD">
        <w:t>.</w:t>
      </w:r>
    </w:p>
    <w:p w:rsidR="00D569ED" w:rsidRDefault="00327274" w:rsidP="00327274">
      <w:pPr>
        <w:pStyle w:val="Nagwek1"/>
        <w:rPr>
          <w:lang w:val="pl-PL"/>
        </w:rPr>
      </w:pPr>
      <w:bookmarkStart w:id="11" w:name="_Toc483904011"/>
      <w:r>
        <w:rPr>
          <w:lang w:val="pl-PL"/>
        </w:rPr>
        <w:t>M</w:t>
      </w:r>
      <w:proofErr w:type="spellStart"/>
      <w:r>
        <w:t>etod</w:t>
      </w:r>
      <w:r>
        <w:rPr>
          <w:lang w:val="pl-PL"/>
        </w:rPr>
        <w:t>y</w:t>
      </w:r>
      <w:proofErr w:type="spellEnd"/>
      <w:r>
        <w:t xml:space="preserve"> i częstotliwoś</w:t>
      </w:r>
      <w:r w:rsidR="00696862">
        <w:rPr>
          <w:lang w:val="pl-PL"/>
        </w:rPr>
        <w:t>ć</w:t>
      </w:r>
      <w:r>
        <w:t xml:space="preserve"> przeprowadzania monitoringu skutków realizacji postanowień dokumentu</w:t>
      </w:r>
      <w:bookmarkEnd w:id="11"/>
    </w:p>
    <w:p w:rsidR="005713BB" w:rsidRDefault="005713BB" w:rsidP="005713BB">
      <w:pPr>
        <w:spacing w:before="24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Aby realizacja zadań zawartych w Programie Ochrony Środowiska przebiegała zgodnie z założonym harmonogramem, niezbędne jest prowadzenie monitoringu oraz ewaluacji ich wykonania.</w:t>
      </w:r>
    </w:p>
    <w:p w:rsidR="005713BB" w:rsidRDefault="005713BB" w:rsidP="005713BB">
      <w:pPr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Celem monitoringu jest ocena realizacji wskazanych w </w:t>
      </w:r>
      <w:r>
        <w:rPr>
          <w:i/>
          <w:sz w:val="24"/>
          <w:szCs w:val="24"/>
        </w:rPr>
        <w:t xml:space="preserve">Programie </w:t>
      </w:r>
      <w:r>
        <w:rPr>
          <w:sz w:val="24"/>
          <w:szCs w:val="24"/>
        </w:rPr>
        <w:t>zadań, w tym:</w:t>
      </w:r>
    </w:p>
    <w:p w:rsidR="005713BB" w:rsidRDefault="005713BB" w:rsidP="005713BB">
      <w:pPr>
        <w:numPr>
          <w:ilvl w:val="0"/>
          <w:numId w:val="35"/>
        </w:numPr>
        <w:shd w:val="clear" w:color="auto" w:fill="FFFFFF"/>
        <w:spacing w:after="0" w:line="360" w:lineRule="auto"/>
        <w:ind w:left="1134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określenie stopnia realizacji przyjętych celów, </w:t>
      </w:r>
    </w:p>
    <w:p w:rsidR="005713BB" w:rsidRDefault="005713BB" w:rsidP="005713BB">
      <w:pPr>
        <w:numPr>
          <w:ilvl w:val="0"/>
          <w:numId w:val="35"/>
        </w:numPr>
        <w:shd w:val="clear" w:color="auto" w:fill="FFFFFF"/>
        <w:spacing w:after="0" w:line="360" w:lineRule="auto"/>
        <w:ind w:left="1134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rozbieżności pomiędzy przyjętymi celami i działaniami, a ich wykonaniem,</w:t>
      </w:r>
    </w:p>
    <w:p w:rsidR="005713BB" w:rsidRDefault="005713BB" w:rsidP="005713BB">
      <w:pPr>
        <w:numPr>
          <w:ilvl w:val="0"/>
          <w:numId w:val="35"/>
        </w:numPr>
        <w:shd w:val="clear" w:color="auto" w:fill="FFFFFF"/>
        <w:spacing w:after="120" w:line="360" w:lineRule="auto"/>
        <w:ind w:left="1134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analizę przyczyn rozbieżności.</w:t>
      </w:r>
    </w:p>
    <w:p w:rsidR="00D9500E" w:rsidRPr="00D9500E" w:rsidRDefault="005713BB" w:rsidP="0005404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Monitoring realizacji zadań będzie prowadzony w oparciu o wskaźniki obrazujące zmianę stanu środowiska na terenie gminy (tabela nr 14</w:t>
      </w:r>
      <w:r w:rsidR="00054045">
        <w:rPr>
          <w:sz w:val="24"/>
          <w:szCs w:val="24"/>
        </w:rPr>
        <w:t xml:space="preserve"> w </w:t>
      </w:r>
      <w:r w:rsidR="00054045" w:rsidRPr="00054045">
        <w:rPr>
          <w:i/>
          <w:sz w:val="24"/>
          <w:szCs w:val="24"/>
        </w:rPr>
        <w:t>Programie</w:t>
      </w:r>
      <w:r>
        <w:rPr>
          <w:sz w:val="24"/>
          <w:szCs w:val="24"/>
        </w:rPr>
        <w:t xml:space="preserve">) oraz dane dotyczące stanu realizacji zadań ujętych w </w:t>
      </w:r>
      <w:r>
        <w:rPr>
          <w:i/>
          <w:sz w:val="24"/>
          <w:szCs w:val="24"/>
        </w:rPr>
        <w:t>Programie.</w:t>
      </w:r>
      <w:r>
        <w:rPr>
          <w:sz w:val="24"/>
          <w:szCs w:val="24"/>
        </w:rPr>
        <w:t xml:space="preserve"> Jeżeli w wyniku analizy okaże się, że istnieją rozbieżności pomiędzy stopniem realizacji </w:t>
      </w:r>
      <w:r>
        <w:rPr>
          <w:i/>
          <w:sz w:val="24"/>
          <w:szCs w:val="24"/>
        </w:rPr>
        <w:t>Programu,</w:t>
      </w:r>
      <w:r>
        <w:rPr>
          <w:sz w:val="24"/>
          <w:szCs w:val="24"/>
        </w:rPr>
        <w:t xml:space="preserve"> a jego założeniami, zostaną podjęte </w:t>
      </w:r>
      <w:r>
        <w:rPr>
          <w:sz w:val="24"/>
          <w:szCs w:val="24"/>
        </w:rPr>
        <w:lastRenderedPageBreak/>
        <w:t xml:space="preserve">czynności mające na celu wyjaśnienie przyczyn rozbieżności oraz określenie działań korygujących. </w:t>
      </w:r>
    </w:p>
    <w:p w:rsidR="00327274" w:rsidRPr="00327274" w:rsidRDefault="00C97444" w:rsidP="00C97444">
      <w:pPr>
        <w:pStyle w:val="Nagwek1"/>
      </w:pPr>
      <w:bookmarkStart w:id="12" w:name="_Toc483904012"/>
      <w:r>
        <w:rPr>
          <w:lang w:val="pl-PL"/>
        </w:rPr>
        <w:t>U</w:t>
      </w:r>
      <w:proofErr w:type="spellStart"/>
      <w:r>
        <w:t>zasadnienie</w:t>
      </w:r>
      <w:proofErr w:type="spellEnd"/>
      <w:r>
        <w:t xml:space="preserve"> wyboru przyjętego dokumentu w odniesieniu do rozpatrywanych rozwiązań alternatywnych</w:t>
      </w:r>
      <w:bookmarkEnd w:id="12"/>
    </w:p>
    <w:p w:rsidR="009A6619" w:rsidRDefault="00C97444" w:rsidP="00C97444">
      <w:pPr>
        <w:pStyle w:val="Akapit"/>
        <w:ind w:firstLine="708"/>
      </w:pPr>
      <w:r>
        <w:t>Z uwagi na fakt, że</w:t>
      </w:r>
      <w:r w:rsidRPr="00586892">
        <w:t xml:space="preserve"> </w:t>
      </w:r>
      <w:r>
        <w:t xml:space="preserve">dla realizacji zadań ujętych w </w:t>
      </w:r>
      <w:r w:rsidRPr="00550DD2">
        <w:rPr>
          <w:i/>
        </w:rPr>
        <w:t>Programie</w:t>
      </w:r>
      <w:r>
        <w:rPr>
          <w:i/>
        </w:rPr>
        <w:t xml:space="preserve"> </w:t>
      </w:r>
      <w:r>
        <w:t xml:space="preserve">nie przewiduje się znaczącego negatywnego oddziaływania na środowisko, nieuzasadnione </w:t>
      </w:r>
      <w:r w:rsidR="007A7592">
        <w:t xml:space="preserve">jest </w:t>
      </w:r>
      <w:r>
        <w:t>proponowanie działań alternatywnych.</w:t>
      </w:r>
      <w:bookmarkStart w:id="13" w:name="_GoBack"/>
      <w:bookmarkEnd w:id="13"/>
    </w:p>
    <w:sectPr w:rsidR="009A6619" w:rsidSect="00C71D6D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CF" w:rsidRDefault="00A204CF" w:rsidP="0080241C">
      <w:pPr>
        <w:spacing w:after="0" w:line="240" w:lineRule="auto"/>
      </w:pPr>
      <w:r>
        <w:separator/>
      </w:r>
    </w:p>
  </w:endnote>
  <w:endnote w:type="continuationSeparator" w:id="0">
    <w:p w:rsidR="00A204CF" w:rsidRDefault="00A204CF" w:rsidP="0080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33409"/>
      <w:docPartObj>
        <w:docPartGallery w:val="Page Numbers (Bottom of Page)"/>
        <w:docPartUnique/>
      </w:docPartObj>
    </w:sdtPr>
    <w:sdtEndPr/>
    <w:sdtContent>
      <w:p w:rsidR="00282EE7" w:rsidRDefault="00282E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C7">
          <w:rPr>
            <w:noProof/>
          </w:rPr>
          <w:t>2</w:t>
        </w:r>
        <w:r>
          <w:fldChar w:fldCharType="end"/>
        </w:r>
      </w:p>
    </w:sdtContent>
  </w:sdt>
  <w:p w:rsidR="009D492F" w:rsidRDefault="009D4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CF" w:rsidRDefault="00A204CF" w:rsidP="0080241C">
      <w:pPr>
        <w:spacing w:after="0" w:line="240" w:lineRule="auto"/>
      </w:pPr>
      <w:r>
        <w:separator/>
      </w:r>
    </w:p>
  </w:footnote>
  <w:footnote w:type="continuationSeparator" w:id="0">
    <w:p w:rsidR="00A204CF" w:rsidRDefault="00A204CF" w:rsidP="0080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1C" w:rsidRDefault="003645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B465AD2" wp14:editId="15170D7F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2054225" cy="732790"/>
          <wp:effectExtent l="0" t="0" r="3175" b="0"/>
          <wp:wrapTight wrapText="bothSides">
            <wp:wrapPolygon edited="0">
              <wp:start x="3405" y="0"/>
              <wp:lineTo x="0" y="3931"/>
              <wp:lineTo x="0" y="14600"/>
              <wp:lineTo x="601" y="17969"/>
              <wp:lineTo x="1803" y="20776"/>
              <wp:lineTo x="2003" y="20776"/>
              <wp:lineTo x="5008" y="20776"/>
              <wp:lineTo x="5208" y="20776"/>
              <wp:lineTo x="6610" y="17969"/>
              <wp:lineTo x="21433" y="17407"/>
              <wp:lineTo x="21433" y="5054"/>
              <wp:lineTo x="4607" y="0"/>
              <wp:lineTo x="3405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42F"/>
    <w:multiLevelType w:val="hybridMultilevel"/>
    <w:tmpl w:val="95009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71BEE"/>
    <w:multiLevelType w:val="hybridMultilevel"/>
    <w:tmpl w:val="43B0265C"/>
    <w:lvl w:ilvl="0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2CD296C"/>
    <w:multiLevelType w:val="hybridMultilevel"/>
    <w:tmpl w:val="888CF8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5605D2"/>
    <w:multiLevelType w:val="hybridMultilevel"/>
    <w:tmpl w:val="DC10E2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AD1843"/>
    <w:multiLevelType w:val="hybridMultilevel"/>
    <w:tmpl w:val="EF4851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0B1C6A"/>
    <w:multiLevelType w:val="hybridMultilevel"/>
    <w:tmpl w:val="A3E873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EC1E6D"/>
    <w:multiLevelType w:val="hybridMultilevel"/>
    <w:tmpl w:val="76507DA2"/>
    <w:lvl w:ilvl="0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999322C"/>
    <w:multiLevelType w:val="multilevel"/>
    <w:tmpl w:val="20F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1FDA183C"/>
    <w:multiLevelType w:val="hybridMultilevel"/>
    <w:tmpl w:val="DF229B3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21381AA8"/>
    <w:multiLevelType w:val="hybridMultilevel"/>
    <w:tmpl w:val="6F160908"/>
    <w:lvl w:ilvl="0" w:tplc="898C5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FE42C1"/>
    <w:multiLevelType w:val="hybridMultilevel"/>
    <w:tmpl w:val="C8C0F504"/>
    <w:lvl w:ilvl="0" w:tplc="D7BC0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10232D"/>
    <w:multiLevelType w:val="hybridMultilevel"/>
    <w:tmpl w:val="45E842E4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30FC6AAE"/>
    <w:multiLevelType w:val="hybridMultilevel"/>
    <w:tmpl w:val="EB687C10"/>
    <w:lvl w:ilvl="0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78B0121"/>
    <w:multiLevelType w:val="hybridMultilevel"/>
    <w:tmpl w:val="0AA0E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3B06"/>
    <w:multiLevelType w:val="hybridMultilevel"/>
    <w:tmpl w:val="1CEAC6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C124B0"/>
    <w:multiLevelType w:val="hybridMultilevel"/>
    <w:tmpl w:val="71C2A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3DB6C9F"/>
    <w:multiLevelType w:val="hybridMultilevel"/>
    <w:tmpl w:val="AC9C47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632509"/>
    <w:multiLevelType w:val="multilevel"/>
    <w:tmpl w:val="23024772"/>
    <w:lvl w:ilvl="0">
      <w:start w:val="1"/>
      <w:numFmt w:val="decimal"/>
      <w:pStyle w:val="Nagwek1"/>
      <w:lvlText w:val="%1"/>
      <w:lvlJc w:val="left"/>
      <w:pPr>
        <w:ind w:left="574" w:hanging="432"/>
      </w:pPr>
      <w:rPr>
        <w:color w:val="1F497D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53F63978"/>
    <w:multiLevelType w:val="hybridMultilevel"/>
    <w:tmpl w:val="96F00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F75022"/>
    <w:multiLevelType w:val="hybridMultilevel"/>
    <w:tmpl w:val="F7A299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C95AD3"/>
    <w:multiLevelType w:val="hybridMultilevel"/>
    <w:tmpl w:val="2988B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A3DA0"/>
    <w:multiLevelType w:val="hybridMultilevel"/>
    <w:tmpl w:val="AF84DD1A"/>
    <w:lvl w:ilvl="0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06C6BEF"/>
    <w:multiLevelType w:val="hybridMultilevel"/>
    <w:tmpl w:val="0B10E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DC6C43"/>
    <w:multiLevelType w:val="hybridMultilevel"/>
    <w:tmpl w:val="2F1248A0"/>
    <w:lvl w:ilvl="0" w:tplc="5BA431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B9C0D33"/>
    <w:multiLevelType w:val="hybridMultilevel"/>
    <w:tmpl w:val="C74AFC0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04212"/>
    <w:multiLevelType w:val="hybridMultilevel"/>
    <w:tmpl w:val="FC9203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4"/>
  </w:num>
  <w:num w:numId="12">
    <w:abstractNumId w:val="1"/>
  </w:num>
  <w:num w:numId="13">
    <w:abstractNumId w:val="24"/>
  </w:num>
  <w:num w:numId="14">
    <w:abstractNumId w:val="15"/>
  </w:num>
  <w:num w:numId="15">
    <w:abstractNumId w:val="5"/>
  </w:num>
  <w:num w:numId="16">
    <w:abstractNumId w:val="19"/>
  </w:num>
  <w:num w:numId="17">
    <w:abstractNumId w:val="21"/>
  </w:num>
  <w:num w:numId="18">
    <w:abstractNumId w:val="18"/>
  </w:num>
  <w:num w:numId="19">
    <w:abstractNumId w:val="12"/>
  </w:num>
  <w:num w:numId="20">
    <w:abstractNumId w:val="6"/>
  </w:num>
  <w:num w:numId="21">
    <w:abstractNumId w:val="11"/>
  </w:num>
  <w:num w:numId="22">
    <w:abstractNumId w:val="13"/>
  </w:num>
  <w:num w:numId="23">
    <w:abstractNumId w:val="8"/>
  </w:num>
  <w:num w:numId="24">
    <w:abstractNumId w:val="20"/>
  </w:num>
  <w:num w:numId="25">
    <w:abstractNumId w:val="0"/>
  </w:num>
  <w:num w:numId="26">
    <w:abstractNumId w:val="3"/>
  </w:num>
  <w:num w:numId="27">
    <w:abstractNumId w:val="4"/>
  </w:num>
  <w:num w:numId="28">
    <w:abstractNumId w:val="2"/>
  </w:num>
  <w:num w:numId="29">
    <w:abstractNumId w:val="16"/>
  </w:num>
  <w:num w:numId="30">
    <w:abstractNumId w:val="9"/>
  </w:num>
  <w:num w:numId="31">
    <w:abstractNumId w:val="10"/>
  </w:num>
  <w:num w:numId="32">
    <w:abstractNumId w:val="23"/>
  </w:num>
  <w:num w:numId="33">
    <w:abstractNumId w:val="25"/>
  </w:num>
  <w:num w:numId="34">
    <w:abstractNumId w:val="22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5F"/>
    <w:rsid w:val="000025BE"/>
    <w:rsid w:val="00002C39"/>
    <w:rsid w:val="00007EE8"/>
    <w:rsid w:val="00014CC8"/>
    <w:rsid w:val="0001522A"/>
    <w:rsid w:val="00015F02"/>
    <w:rsid w:val="0002130A"/>
    <w:rsid w:val="000254DC"/>
    <w:rsid w:val="0002728F"/>
    <w:rsid w:val="00044DA9"/>
    <w:rsid w:val="00051982"/>
    <w:rsid w:val="00051E85"/>
    <w:rsid w:val="00054045"/>
    <w:rsid w:val="00054632"/>
    <w:rsid w:val="00057D60"/>
    <w:rsid w:val="00065DB7"/>
    <w:rsid w:val="0006613E"/>
    <w:rsid w:val="00067FBF"/>
    <w:rsid w:val="00072477"/>
    <w:rsid w:val="0008357B"/>
    <w:rsid w:val="000868CC"/>
    <w:rsid w:val="00086B38"/>
    <w:rsid w:val="0008753F"/>
    <w:rsid w:val="00087A48"/>
    <w:rsid w:val="0009047D"/>
    <w:rsid w:val="00091A13"/>
    <w:rsid w:val="000943F3"/>
    <w:rsid w:val="00094CFE"/>
    <w:rsid w:val="000A333F"/>
    <w:rsid w:val="000A4E4E"/>
    <w:rsid w:val="000B7C77"/>
    <w:rsid w:val="000C0EEA"/>
    <w:rsid w:val="000C2EA7"/>
    <w:rsid w:val="000C6803"/>
    <w:rsid w:val="000C7DF7"/>
    <w:rsid w:val="000D498B"/>
    <w:rsid w:val="000D7389"/>
    <w:rsid w:val="000D7898"/>
    <w:rsid w:val="000E0B79"/>
    <w:rsid w:val="000E0E4B"/>
    <w:rsid w:val="000E692B"/>
    <w:rsid w:val="001008A4"/>
    <w:rsid w:val="00104DCA"/>
    <w:rsid w:val="001053C9"/>
    <w:rsid w:val="001068AB"/>
    <w:rsid w:val="001236A3"/>
    <w:rsid w:val="0012509F"/>
    <w:rsid w:val="0013444B"/>
    <w:rsid w:val="00147FF7"/>
    <w:rsid w:val="00152EB9"/>
    <w:rsid w:val="00167BB4"/>
    <w:rsid w:val="001840B7"/>
    <w:rsid w:val="001912A5"/>
    <w:rsid w:val="00192EEB"/>
    <w:rsid w:val="0019487A"/>
    <w:rsid w:val="00195777"/>
    <w:rsid w:val="00197395"/>
    <w:rsid w:val="001973D1"/>
    <w:rsid w:val="00197F70"/>
    <w:rsid w:val="001A48E6"/>
    <w:rsid w:val="001B01BD"/>
    <w:rsid w:val="001C016C"/>
    <w:rsid w:val="001D0F22"/>
    <w:rsid w:val="001D79A0"/>
    <w:rsid w:val="001E2C3D"/>
    <w:rsid w:val="001E5138"/>
    <w:rsid w:val="001F41CE"/>
    <w:rsid w:val="0020378B"/>
    <w:rsid w:val="0022546F"/>
    <w:rsid w:val="00225BC9"/>
    <w:rsid w:val="00225C74"/>
    <w:rsid w:val="002271BC"/>
    <w:rsid w:val="00233378"/>
    <w:rsid w:val="00234851"/>
    <w:rsid w:val="002411F5"/>
    <w:rsid w:val="00241942"/>
    <w:rsid w:val="00244BEF"/>
    <w:rsid w:val="002466A9"/>
    <w:rsid w:val="002471C4"/>
    <w:rsid w:val="00256787"/>
    <w:rsid w:val="00261087"/>
    <w:rsid w:val="00261F74"/>
    <w:rsid w:val="00264C4D"/>
    <w:rsid w:val="00267881"/>
    <w:rsid w:val="00270D3A"/>
    <w:rsid w:val="00277225"/>
    <w:rsid w:val="00277D71"/>
    <w:rsid w:val="00282117"/>
    <w:rsid w:val="00282EE7"/>
    <w:rsid w:val="00284997"/>
    <w:rsid w:val="002936E2"/>
    <w:rsid w:val="002968A9"/>
    <w:rsid w:val="002A03EF"/>
    <w:rsid w:val="002B166F"/>
    <w:rsid w:val="002B25D9"/>
    <w:rsid w:val="002B3A53"/>
    <w:rsid w:val="002C2530"/>
    <w:rsid w:val="002C40F3"/>
    <w:rsid w:val="002C76E0"/>
    <w:rsid w:val="002D0BAE"/>
    <w:rsid w:val="002D1FDD"/>
    <w:rsid w:val="002D42DE"/>
    <w:rsid w:val="002D4EE4"/>
    <w:rsid w:val="002D62E7"/>
    <w:rsid w:val="002E2B94"/>
    <w:rsid w:val="002F0B55"/>
    <w:rsid w:val="002F4125"/>
    <w:rsid w:val="002F64EA"/>
    <w:rsid w:val="002F7AA5"/>
    <w:rsid w:val="00302213"/>
    <w:rsid w:val="00320A61"/>
    <w:rsid w:val="00324A50"/>
    <w:rsid w:val="00326D2E"/>
    <w:rsid w:val="00327274"/>
    <w:rsid w:val="00332ADA"/>
    <w:rsid w:val="00335BED"/>
    <w:rsid w:val="00341B03"/>
    <w:rsid w:val="00341B20"/>
    <w:rsid w:val="00345337"/>
    <w:rsid w:val="0036458E"/>
    <w:rsid w:val="003667C9"/>
    <w:rsid w:val="0037010D"/>
    <w:rsid w:val="00373D4A"/>
    <w:rsid w:val="003838C4"/>
    <w:rsid w:val="00394C48"/>
    <w:rsid w:val="00395DAF"/>
    <w:rsid w:val="003A6030"/>
    <w:rsid w:val="003B2EAA"/>
    <w:rsid w:val="003C13A7"/>
    <w:rsid w:val="003C2BEC"/>
    <w:rsid w:val="003C7560"/>
    <w:rsid w:val="003C7C61"/>
    <w:rsid w:val="003D7DFC"/>
    <w:rsid w:val="003E2004"/>
    <w:rsid w:val="0040045E"/>
    <w:rsid w:val="00406D38"/>
    <w:rsid w:val="00413288"/>
    <w:rsid w:val="00415FBB"/>
    <w:rsid w:val="00417445"/>
    <w:rsid w:val="00417E16"/>
    <w:rsid w:val="004216A3"/>
    <w:rsid w:val="004254E1"/>
    <w:rsid w:val="0042787D"/>
    <w:rsid w:val="0043404C"/>
    <w:rsid w:val="00447EEA"/>
    <w:rsid w:val="0045567B"/>
    <w:rsid w:val="0046139B"/>
    <w:rsid w:val="004659EB"/>
    <w:rsid w:val="00466798"/>
    <w:rsid w:val="0047696C"/>
    <w:rsid w:val="00477B84"/>
    <w:rsid w:val="004825DC"/>
    <w:rsid w:val="00484081"/>
    <w:rsid w:val="00485C51"/>
    <w:rsid w:val="00486DFE"/>
    <w:rsid w:val="00492208"/>
    <w:rsid w:val="00493FD7"/>
    <w:rsid w:val="004A6470"/>
    <w:rsid w:val="004B74E7"/>
    <w:rsid w:val="004B7879"/>
    <w:rsid w:val="004B7EF1"/>
    <w:rsid w:val="004C0913"/>
    <w:rsid w:val="004C481E"/>
    <w:rsid w:val="004C5B84"/>
    <w:rsid w:val="004D06D3"/>
    <w:rsid w:val="004D0E34"/>
    <w:rsid w:val="004D0E6B"/>
    <w:rsid w:val="004D376D"/>
    <w:rsid w:val="004D5208"/>
    <w:rsid w:val="004E6F27"/>
    <w:rsid w:val="004F0336"/>
    <w:rsid w:val="004F3847"/>
    <w:rsid w:val="004F659F"/>
    <w:rsid w:val="004F7739"/>
    <w:rsid w:val="005038DB"/>
    <w:rsid w:val="0050432A"/>
    <w:rsid w:val="0050528A"/>
    <w:rsid w:val="00510C22"/>
    <w:rsid w:val="00513131"/>
    <w:rsid w:val="00515BF6"/>
    <w:rsid w:val="0051664D"/>
    <w:rsid w:val="005171AE"/>
    <w:rsid w:val="00537EE7"/>
    <w:rsid w:val="00546897"/>
    <w:rsid w:val="0055511B"/>
    <w:rsid w:val="005703FB"/>
    <w:rsid w:val="00570B41"/>
    <w:rsid w:val="005713BB"/>
    <w:rsid w:val="00574C42"/>
    <w:rsid w:val="00575471"/>
    <w:rsid w:val="00580D32"/>
    <w:rsid w:val="00587D03"/>
    <w:rsid w:val="00594D04"/>
    <w:rsid w:val="005963B2"/>
    <w:rsid w:val="005A3183"/>
    <w:rsid w:val="005B038F"/>
    <w:rsid w:val="005B0EAD"/>
    <w:rsid w:val="005B21B8"/>
    <w:rsid w:val="005B2BFF"/>
    <w:rsid w:val="005B650B"/>
    <w:rsid w:val="005B68AD"/>
    <w:rsid w:val="005C13D2"/>
    <w:rsid w:val="005C2771"/>
    <w:rsid w:val="005D1C5D"/>
    <w:rsid w:val="005D4BB9"/>
    <w:rsid w:val="005F1E40"/>
    <w:rsid w:val="0061253B"/>
    <w:rsid w:val="006176F2"/>
    <w:rsid w:val="006319DF"/>
    <w:rsid w:val="0063778C"/>
    <w:rsid w:val="00640D7B"/>
    <w:rsid w:val="006412A7"/>
    <w:rsid w:val="00641378"/>
    <w:rsid w:val="006419DB"/>
    <w:rsid w:val="0064200C"/>
    <w:rsid w:val="006440B8"/>
    <w:rsid w:val="006446AB"/>
    <w:rsid w:val="006463EE"/>
    <w:rsid w:val="00655073"/>
    <w:rsid w:val="006558F1"/>
    <w:rsid w:val="006640FF"/>
    <w:rsid w:val="0066473E"/>
    <w:rsid w:val="0066669C"/>
    <w:rsid w:val="006741EF"/>
    <w:rsid w:val="0067736F"/>
    <w:rsid w:val="00685313"/>
    <w:rsid w:val="00691F33"/>
    <w:rsid w:val="00696862"/>
    <w:rsid w:val="006A30E8"/>
    <w:rsid w:val="006A5186"/>
    <w:rsid w:val="006A7C72"/>
    <w:rsid w:val="006B0267"/>
    <w:rsid w:val="006B3118"/>
    <w:rsid w:val="006B59F6"/>
    <w:rsid w:val="006C0903"/>
    <w:rsid w:val="006C114B"/>
    <w:rsid w:val="006C7EF1"/>
    <w:rsid w:val="006D60DA"/>
    <w:rsid w:val="006D7FBB"/>
    <w:rsid w:val="006F2DB1"/>
    <w:rsid w:val="006F4544"/>
    <w:rsid w:val="006F7D49"/>
    <w:rsid w:val="007024E3"/>
    <w:rsid w:val="007057C3"/>
    <w:rsid w:val="007076F1"/>
    <w:rsid w:val="00711420"/>
    <w:rsid w:val="007122FE"/>
    <w:rsid w:val="00714F59"/>
    <w:rsid w:val="00716051"/>
    <w:rsid w:val="00716F4C"/>
    <w:rsid w:val="007231EF"/>
    <w:rsid w:val="007248B4"/>
    <w:rsid w:val="00726E2D"/>
    <w:rsid w:val="00732708"/>
    <w:rsid w:val="00732F03"/>
    <w:rsid w:val="00753CF8"/>
    <w:rsid w:val="00757349"/>
    <w:rsid w:val="00760019"/>
    <w:rsid w:val="0078497C"/>
    <w:rsid w:val="00786BBC"/>
    <w:rsid w:val="00795628"/>
    <w:rsid w:val="007A7592"/>
    <w:rsid w:val="007B2B53"/>
    <w:rsid w:val="007B580B"/>
    <w:rsid w:val="007C1E6A"/>
    <w:rsid w:val="007C2BB5"/>
    <w:rsid w:val="007C4705"/>
    <w:rsid w:val="007C6FF9"/>
    <w:rsid w:val="007D0E86"/>
    <w:rsid w:val="007D4DF6"/>
    <w:rsid w:val="007E5A3D"/>
    <w:rsid w:val="007F357F"/>
    <w:rsid w:val="007F54FC"/>
    <w:rsid w:val="007F7590"/>
    <w:rsid w:val="008014A7"/>
    <w:rsid w:val="0080241C"/>
    <w:rsid w:val="00803DBB"/>
    <w:rsid w:val="00812DCE"/>
    <w:rsid w:val="008221FD"/>
    <w:rsid w:val="008234C4"/>
    <w:rsid w:val="00824297"/>
    <w:rsid w:val="00825FE3"/>
    <w:rsid w:val="00827644"/>
    <w:rsid w:val="0083492C"/>
    <w:rsid w:val="00836BEA"/>
    <w:rsid w:val="008441D8"/>
    <w:rsid w:val="00844331"/>
    <w:rsid w:val="00850769"/>
    <w:rsid w:val="00853037"/>
    <w:rsid w:val="00856BFA"/>
    <w:rsid w:val="00857C1E"/>
    <w:rsid w:val="008669CA"/>
    <w:rsid w:val="00870FCA"/>
    <w:rsid w:val="008756C3"/>
    <w:rsid w:val="00877A74"/>
    <w:rsid w:val="00887E21"/>
    <w:rsid w:val="00892114"/>
    <w:rsid w:val="008A1CA1"/>
    <w:rsid w:val="008A22EF"/>
    <w:rsid w:val="008A693C"/>
    <w:rsid w:val="008B15B0"/>
    <w:rsid w:val="008C3418"/>
    <w:rsid w:val="008D3DEA"/>
    <w:rsid w:val="008E6306"/>
    <w:rsid w:val="008F75FE"/>
    <w:rsid w:val="008F76F1"/>
    <w:rsid w:val="00907696"/>
    <w:rsid w:val="00914309"/>
    <w:rsid w:val="00915D05"/>
    <w:rsid w:val="00921930"/>
    <w:rsid w:val="00927403"/>
    <w:rsid w:val="00932E28"/>
    <w:rsid w:val="00936E97"/>
    <w:rsid w:val="00945695"/>
    <w:rsid w:val="00945D8A"/>
    <w:rsid w:val="0095436E"/>
    <w:rsid w:val="00954C50"/>
    <w:rsid w:val="009560E1"/>
    <w:rsid w:val="009570E9"/>
    <w:rsid w:val="0095772E"/>
    <w:rsid w:val="009626A7"/>
    <w:rsid w:val="0097762F"/>
    <w:rsid w:val="00984F6D"/>
    <w:rsid w:val="0098602E"/>
    <w:rsid w:val="00987C54"/>
    <w:rsid w:val="009A6619"/>
    <w:rsid w:val="009B0971"/>
    <w:rsid w:val="009B28B0"/>
    <w:rsid w:val="009B5B63"/>
    <w:rsid w:val="009C5600"/>
    <w:rsid w:val="009D492F"/>
    <w:rsid w:val="009D578C"/>
    <w:rsid w:val="009F05A2"/>
    <w:rsid w:val="009F1AA3"/>
    <w:rsid w:val="009F6784"/>
    <w:rsid w:val="009F793E"/>
    <w:rsid w:val="00A01ECD"/>
    <w:rsid w:val="00A03BEA"/>
    <w:rsid w:val="00A120E9"/>
    <w:rsid w:val="00A152DD"/>
    <w:rsid w:val="00A204CF"/>
    <w:rsid w:val="00A20D8C"/>
    <w:rsid w:val="00A30079"/>
    <w:rsid w:val="00A3647F"/>
    <w:rsid w:val="00A36649"/>
    <w:rsid w:val="00A36C30"/>
    <w:rsid w:val="00A52F8C"/>
    <w:rsid w:val="00A61F1A"/>
    <w:rsid w:val="00A64987"/>
    <w:rsid w:val="00A7328B"/>
    <w:rsid w:val="00A76A09"/>
    <w:rsid w:val="00A8198F"/>
    <w:rsid w:val="00A82DE2"/>
    <w:rsid w:val="00A92DA4"/>
    <w:rsid w:val="00A94E01"/>
    <w:rsid w:val="00A94E57"/>
    <w:rsid w:val="00A96354"/>
    <w:rsid w:val="00AA2308"/>
    <w:rsid w:val="00AA6D41"/>
    <w:rsid w:val="00AB00DC"/>
    <w:rsid w:val="00AB58D4"/>
    <w:rsid w:val="00AB7323"/>
    <w:rsid w:val="00AC25D5"/>
    <w:rsid w:val="00AD0F30"/>
    <w:rsid w:val="00AD489E"/>
    <w:rsid w:val="00AD69BE"/>
    <w:rsid w:val="00AE5C9A"/>
    <w:rsid w:val="00AE7B32"/>
    <w:rsid w:val="00AF36F3"/>
    <w:rsid w:val="00AF36F5"/>
    <w:rsid w:val="00B04B4D"/>
    <w:rsid w:val="00B054ED"/>
    <w:rsid w:val="00B11C19"/>
    <w:rsid w:val="00B143C8"/>
    <w:rsid w:val="00B21D37"/>
    <w:rsid w:val="00B2295C"/>
    <w:rsid w:val="00B3048F"/>
    <w:rsid w:val="00B31591"/>
    <w:rsid w:val="00B377F0"/>
    <w:rsid w:val="00B41466"/>
    <w:rsid w:val="00B42D61"/>
    <w:rsid w:val="00B43ABB"/>
    <w:rsid w:val="00B4459A"/>
    <w:rsid w:val="00B67244"/>
    <w:rsid w:val="00B76396"/>
    <w:rsid w:val="00B900FE"/>
    <w:rsid w:val="00B92D86"/>
    <w:rsid w:val="00BA2DC7"/>
    <w:rsid w:val="00BA69B0"/>
    <w:rsid w:val="00BA6CA3"/>
    <w:rsid w:val="00BB0B6C"/>
    <w:rsid w:val="00BB4F1B"/>
    <w:rsid w:val="00BC00E4"/>
    <w:rsid w:val="00BC2F1F"/>
    <w:rsid w:val="00BC7474"/>
    <w:rsid w:val="00BD6030"/>
    <w:rsid w:val="00BE0E40"/>
    <w:rsid w:val="00BE39F9"/>
    <w:rsid w:val="00BF0DFC"/>
    <w:rsid w:val="00BF57B1"/>
    <w:rsid w:val="00C01319"/>
    <w:rsid w:val="00C16CCF"/>
    <w:rsid w:val="00C21A5B"/>
    <w:rsid w:val="00C2278F"/>
    <w:rsid w:val="00C26C3A"/>
    <w:rsid w:val="00C302BE"/>
    <w:rsid w:val="00C374E5"/>
    <w:rsid w:val="00C439E4"/>
    <w:rsid w:val="00C500A8"/>
    <w:rsid w:val="00C518C2"/>
    <w:rsid w:val="00C5460F"/>
    <w:rsid w:val="00C6163F"/>
    <w:rsid w:val="00C6555F"/>
    <w:rsid w:val="00C70A8D"/>
    <w:rsid w:val="00C71D6D"/>
    <w:rsid w:val="00C77FC1"/>
    <w:rsid w:val="00C83FFE"/>
    <w:rsid w:val="00C95F27"/>
    <w:rsid w:val="00C96861"/>
    <w:rsid w:val="00C97444"/>
    <w:rsid w:val="00CA3265"/>
    <w:rsid w:val="00CA7B7B"/>
    <w:rsid w:val="00CB07C7"/>
    <w:rsid w:val="00CB21B7"/>
    <w:rsid w:val="00CB39AC"/>
    <w:rsid w:val="00CB54C9"/>
    <w:rsid w:val="00CC7671"/>
    <w:rsid w:val="00CC7E4C"/>
    <w:rsid w:val="00CD0A0E"/>
    <w:rsid w:val="00CD7058"/>
    <w:rsid w:val="00CD7736"/>
    <w:rsid w:val="00CE06D6"/>
    <w:rsid w:val="00CE10C7"/>
    <w:rsid w:val="00CE3FE2"/>
    <w:rsid w:val="00D04F92"/>
    <w:rsid w:val="00D05D40"/>
    <w:rsid w:val="00D23BD7"/>
    <w:rsid w:val="00D26F57"/>
    <w:rsid w:val="00D2728B"/>
    <w:rsid w:val="00D30976"/>
    <w:rsid w:val="00D32520"/>
    <w:rsid w:val="00D34C80"/>
    <w:rsid w:val="00D364FF"/>
    <w:rsid w:val="00D37B4B"/>
    <w:rsid w:val="00D411F3"/>
    <w:rsid w:val="00D417FA"/>
    <w:rsid w:val="00D419B1"/>
    <w:rsid w:val="00D43506"/>
    <w:rsid w:val="00D44429"/>
    <w:rsid w:val="00D537F9"/>
    <w:rsid w:val="00D53F9D"/>
    <w:rsid w:val="00D569ED"/>
    <w:rsid w:val="00D571D9"/>
    <w:rsid w:val="00D6391C"/>
    <w:rsid w:val="00D66587"/>
    <w:rsid w:val="00D721B0"/>
    <w:rsid w:val="00D73D9B"/>
    <w:rsid w:val="00D83436"/>
    <w:rsid w:val="00D8354F"/>
    <w:rsid w:val="00D83C2C"/>
    <w:rsid w:val="00D84203"/>
    <w:rsid w:val="00D91FEB"/>
    <w:rsid w:val="00D92634"/>
    <w:rsid w:val="00D9500E"/>
    <w:rsid w:val="00DA33EC"/>
    <w:rsid w:val="00DA4AC2"/>
    <w:rsid w:val="00DB1124"/>
    <w:rsid w:val="00DB3B0C"/>
    <w:rsid w:val="00DB6E0A"/>
    <w:rsid w:val="00DC3BA4"/>
    <w:rsid w:val="00DC3F21"/>
    <w:rsid w:val="00DC473B"/>
    <w:rsid w:val="00DC4A84"/>
    <w:rsid w:val="00DC6256"/>
    <w:rsid w:val="00DC7EE7"/>
    <w:rsid w:val="00DD25B4"/>
    <w:rsid w:val="00DD2A94"/>
    <w:rsid w:val="00DD5798"/>
    <w:rsid w:val="00DD6122"/>
    <w:rsid w:val="00DE106B"/>
    <w:rsid w:val="00DE3289"/>
    <w:rsid w:val="00DE395C"/>
    <w:rsid w:val="00DE6D37"/>
    <w:rsid w:val="00DE6EE1"/>
    <w:rsid w:val="00E06B25"/>
    <w:rsid w:val="00E1092B"/>
    <w:rsid w:val="00E12A8F"/>
    <w:rsid w:val="00E13DCA"/>
    <w:rsid w:val="00E14227"/>
    <w:rsid w:val="00E1473B"/>
    <w:rsid w:val="00E20097"/>
    <w:rsid w:val="00E20251"/>
    <w:rsid w:val="00E2532E"/>
    <w:rsid w:val="00E33760"/>
    <w:rsid w:val="00E4586D"/>
    <w:rsid w:val="00E500F8"/>
    <w:rsid w:val="00E5255C"/>
    <w:rsid w:val="00E5422F"/>
    <w:rsid w:val="00E57B4E"/>
    <w:rsid w:val="00E57D6E"/>
    <w:rsid w:val="00E606E8"/>
    <w:rsid w:val="00E702C1"/>
    <w:rsid w:val="00E713EA"/>
    <w:rsid w:val="00E764A4"/>
    <w:rsid w:val="00E80D16"/>
    <w:rsid w:val="00E816FB"/>
    <w:rsid w:val="00E81BC2"/>
    <w:rsid w:val="00E90FF4"/>
    <w:rsid w:val="00EA0ECE"/>
    <w:rsid w:val="00EA2065"/>
    <w:rsid w:val="00EB0373"/>
    <w:rsid w:val="00EB4615"/>
    <w:rsid w:val="00EC0488"/>
    <w:rsid w:val="00EC1450"/>
    <w:rsid w:val="00EC2EAC"/>
    <w:rsid w:val="00EC4AD2"/>
    <w:rsid w:val="00EC4B58"/>
    <w:rsid w:val="00EC73FF"/>
    <w:rsid w:val="00ED5380"/>
    <w:rsid w:val="00EE197B"/>
    <w:rsid w:val="00EE21CC"/>
    <w:rsid w:val="00EE41E9"/>
    <w:rsid w:val="00EE44A1"/>
    <w:rsid w:val="00EE53D8"/>
    <w:rsid w:val="00EF09BE"/>
    <w:rsid w:val="00EF147A"/>
    <w:rsid w:val="00EF2465"/>
    <w:rsid w:val="00EF4DA4"/>
    <w:rsid w:val="00EF4E51"/>
    <w:rsid w:val="00EF66CD"/>
    <w:rsid w:val="00F054D9"/>
    <w:rsid w:val="00F132A0"/>
    <w:rsid w:val="00F13807"/>
    <w:rsid w:val="00F20ECE"/>
    <w:rsid w:val="00F21CB7"/>
    <w:rsid w:val="00F22E81"/>
    <w:rsid w:val="00F25794"/>
    <w:rsid w:val="00F27965"/>
    <w:rsid w:val="00F30F26"/>
    <w:rsid w:val="00F35E08"/>
    <w:rsid w:val="00F40AFF"/>
    <w:rsid w:val="00F419EA"/>
    <w:rsid w:val="00F434E8"/>
    <w:rsid w:val="00F618D8"/>
    <w:rsid w:val="00F72AD4"/>
    <w:rsid w:val="00F749C7"/>
    <w:rsid w:val="00F74AD8"/>
    <w:rsid w:val="00F80633"/>
    <w:rsid w:val="00F873F6"/>
    <w:rsid w:val="00F92768"/>
    <w:rsid w:val="00FA105D"/>
    <w:rsid w:val="00FA483E"/>
    <w:rsid w:val="00FA67F0"/>
    <w:rsid w:val="00FB0E43"/>
    <w:rsid w:val="00FB1BFF"/>
    <w:rsid w:val="00FB5CF2"/>
    <w:rsid w:val="00FB718A"/>
    <w:rsid w:val="00FC5590"/>
    <w:rsid w:val="00FD14EE"/>
    <w:rsid w:val="00FD1A69"/>
    <w:rsid w:val="00FD49DF"/>
    <w:rsid w:val="00FD6FD1"/>
    <w:rsid w:val="00FD77FC"/>
    <w:rsid w:val="00FE2E8B"/>
    <w:rsid w:val="00FE507C"/>
    <w:rsid w:val="00FE6AB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509F"/>
    <w:pPr>
      <w:keepNext/>
      <w:keepLines/>
      <w:numPr>
        <w:numId w:val="10"/>
      </w:numPr>
      <w:spacing w:before="360" w:after="120"/>
      <w:outlineLvl w:val="0"/>
    </w:pPr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09F"/>
    <w:pPr>
      <w:keepNext/>
      <w:keepLines/>
      <w:numPr>
        <w:ilvl w:val="1"/>
        <w:numId w:val="10"/>
      </w:numPr>
      <w:spacing w:before="240" w:after="120"/>
      <w:outlineLvl w:val="1"/>
    </w:pPr>
    <w:rPr>
      <w:rFonts w:eastAsia="Times New Roman"/>
      <w:b/>
      <w:bCs/>
      <w:color w:val="1F497D"/>
      <w:sz w:val="2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509F"/>
    <w:pPr>
      <w:keepNext/>
      <w:numPr>
        <w:ilvl w:val="2"/>
        <w:numId w:val="10"/>
      </w:numPr>
      <w:spacing w:before="240" w:after="120"/>
      <w:outlineLvl w:val="2"/>
    </w:pPr>
    <w:rPr>
      <w:rFonts w:eastAsia="Times New Roman"/>
      <w:b/>
      <w:bCs/>
      <w:color w:val="1F497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509F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1F497D"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4203"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2509F"/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12509F"/>
    <w:rPr>
      <w:rFonts w:eastAsia="Times New Roman"/>
      <w:b/>
      <w:bCs/>
      <w:color w:val="1F497D"/>
      <w:sz w:val="28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rsid w:val="0012509F"/>
    <w:rPr>
      <w:rFonts w:eastAsia="Times New Roman"/>
      <w:b/>
      <w:bCs/>
      <w:color w:val="1F497D"/>
      <w:sz w:val="28"/>
      <w:szCs w:val="26"/>
      <w:lang w:val="x-none"/>
    </w:rPr>
  </w:style>
  <w:style w:type="character" w:customStyle="1" w:styleId="Nagwek4Znak">
    <w:name w:val="Nagłówek 4 Znak"/>
    <w:link w:val="Nagwek4"/>
    <w:uiPriority w:val="9"/>
    <w:rsid w:val="0012509F"/>
    <w:rPr>
      <w:rFonts w:eastAsia="Times New Roman"/>
      <w:b/>
      <w:bCs/>
      <w:color w:val="1F497D"/>
      <w:sz w:val="28"/>
      <w:szCs w:val="28"/>
      <w:lang w:val="x-none"/>
    </w:rPr>
  </w:style>
  <w:style w:type="character" w:customStyle="1" w:styleId="Nagwek5Znak">
    <w:name w:val="Nagłówek 5 Znak"/>
    <w:link w:val="Nagwek5"/>
    <w:uiPriority w:val="9"/>
    <w:rsid w:val="00D84203"/>
    <w:rPr>
      <w:rFonts w:eastAsia="Times New Roman"/>
      <w:b/>
      <w:bCs/>
      <w:i/>
      <w:iCs/>
      <w:sz w:val="26"/>
      <w:szCs w:val="26"/>
      <w:lang w:val="x-none"/>
    </w:rPr>
  </w:style>
  <w:style w:type="paragraph" w:customStyle="1" w:styleId="AKAPITY">
    <w:name w:val="AKAPITY"/>
    <w:basedOn w:val="Normalny"/>
    <w:qFormat/>
    <w:rsid w:val="00D84203"/>
    <w:pPr>
      <w:spacing w:after="0" w:line="360" w:lineRule="auto"/>
      <w:ind w:firstLine="709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customStyle="1" w:styleId="PodpisRysunki">
    <w:name w:val="Podpis Rysunki"/>
    <w:basedOn w:val="Normalny"/>
    <w:qFormat/>
    <w:rsid w:val="00D84203"/>
    <w:pPr>
      <w:autoSpaceDE w:val="0"/>
      <w:autoSpaceDN w:val="0"/>
      <w:adjustRightInd w:val="0"/>
      <w:spacing w:before="120" w:after="0"/>
      <w:jc w:val="center"/>
    </w:pPr>
    <w:rPr>
      <w:rFonts w:ascii="Calibri" w:eastAsia="Calibri" w:hAnsi="Calibri" w:cs="Times New Roman"/>
      <w:b/>
      <w:szCs w:val="24"/>
    </w:rPr>
  </w:style>
  <w:style w:type="paragraph" w:customStyle="1" w:styleId="rdo">
    <w:name w:val="Źródło"/>
    <w:basedOn w:val="Normalny"/>
    <w:qFormat/>
    <w:rsid w:val="00D84203"/>
    <w:pPr>
      <w:autoSpaceDE w:val="0"/>
      <w:autoSpaceDN w:val="0"/>
      <w:adjustRightInd w:val="0"/>
      <w:spacing w:after="120"/>
      <w:jc w:val="center"/>
    </w:pPr>
    <w:rPr>
      <w:rFonts w:ascii="Calibri" w:eastAsia="Calibri" w:hAnsi="Calibri" w:cs="Times New Roman"/>
      <w:i/>
      <w:sz w:val="20"/>
      <w:lang w:eastAsia="pl-PL"/>
    </w:rPr>
  </w:style>
  <w:style w:type="paragraph" w:customStyle="1" w:styleId="Akapit">
    <w:name w:val="Akapit"/>
    <w:basedOn w:val="Normalny"/>
    <w:qFormat/>
    <w:rsid w:val="0012509F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D2728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728B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12A5"/>
    <w:pPr>
      <w:spacing w:after="0" w:line="36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12A5"/>
    <w:rPr>
      <w:rFonts w:eastAsia="Times New Roman" w:cs="Times New Roman"/>
      <w:sz w:val="24"/>
      <w:szCs w:val="24"/>
      <w:lang w:eastAsia="pl-PL"/>
    </w:rPr>
  </w:style>
  <w:style w:type="paragraph" w:customStyle="1" w:styleId="Akapity0">
    <w:name w:val="Akapity"/>
    <w:basedOn w:val="Normalny"/>
    <w:qFormat/>
    <w:rsid w:val="005B0EAD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1C"/>
  </w:style>
  <w:style w:type="paragraph" w:styleId="Stopka">
    <w:name w:val="footer"/>
    <w:basedOn w:val="Normalny"/>
    <w:link w:val="StopkaZnak"/>
    <w:uiPriority w:val="99"/>
    <w:unhideWhenUsed/>
    <w:rsid w:val="0080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1C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492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492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D492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F5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4C"/>
    <w:rPr>
      <w:vertAlign w:val="superscript"/>
    </w:rPr>
  </w:style>
  <w:style w:type="table" w:styleId="Tabela-Siatka">
    <w:name w:val="Table Grid"/>
    <w:basedOn w:val="Standardowy"/>
    <w:uiPriority w:val="59"/>
    <w:rsid w:val="0009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509F"/>
    <w:pPr>
      <w:keepNext/>
      <w:keepLines/>
      <w:numPr>
        <w:numId w:val="10"/>
      </w:numPr>
      <w:spacing w:before="360" w:after="120"/>
      <w:outlineLvl w:val="0"/>
    </w:pPr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09F"/>
    <w:pPr>
      <w:keepNext/>
      <w:keepLines/>
      <w:numPr>
        <w:ilvl w:val="1"/>
        <w:numId w:val="10"/>
      </w:numPr>
      <w:spacing w:before="240" w:after="120"/>
      <w:outlineLvl w:val="1"/>
    </w:pPr>
    <w:rPr>
      <w:rFonts w:eastAsia="Times New Roman"/>
      <w:b/>
      <w:bCs/>
      <w:color w:val="1F497D"/>
      <w:sz w:val="2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509F"/>
    <w:pPr>
      <w:keepNext/>
      <w:numPr>
        <w:ilvl w:val="2"/>
        <w:numId w:val="10"/>
      </w:numPr>
      <w:spacing w:before="240" w:after="120"/>
      <w:outlineLvl w:val="2"/>
    </w:pPr>
    <w:rPr>
      <w:rFonts w:eastAsia="Times New Roman"/>
      <w:b/>
      <w:bCs/>
      <w:color w:val="1F497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509F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1F497D"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4203"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2509F"/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12509F"/>
    <w:rPr>
      <w:rFonts w:eastAsia="Times New Roman"/>
      <w:b/>
      <w:bCs/>
      <w:color w:val="1F497D"/>
      <w:sz w:val="28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rsid w:val="0012509F"/>
    <w:rPr>
      <w:rFonts w:eastAsia="Times New Roman"/>
      <w:b/>
      <w:bCs/>
      <w:color w:val="1F497D"/>
      <w:sz w:val="28"/>
      <w:szCs w:val="26"/>
      <w:lang w:val="x-none"/>
    </w:rPr>
  </w:style>
  <w:style w:type="character" w:customStyle="1" w:styleId="Nagwek4Znak">
    <w:name w:val="Nagłówek 4 Znak"/>
    <w:link w:val="Nagwek4"/>
    <w:uiPriority w:val="9"/>
    <w:rsid w:val="0012509F"/>
    <w:rPr>
      <w:rFonts w:eastAsia="Times New Roman"/>
      <w:b/>
      <w:bCs/>
      <w:color w:val="1F497D"/>
      <w:sz w:val="28"/>
      <w:szCs w:val="28"/>
      <w:lang w:val="x-none"/>
    </w:rPr>
  </w:style>
  <w:style w:type="character" w:customStyle="1" w:styleId="Nagwek5Znak">
    <w:name w:val="Nagłówek 5 Znak"/>
    <w:link w:val="Nagwek5"/>
    <w:uiPriority w:val="9"/>
    <w:rsid w:val="00D84203"/>
    <w:rPr>
      <w:rFonts w:eastAsia="Times New Roman"/>
      <w:b/>
      <w:bCs/>
      <w:i/>
      <w:iCs/>
      <w:sz w:val="26"/>
      <w:szCs w:val="26"/>
      <w:lang w:val="x-none"/>
    </w:rPr>
  </w:style>
  <w:style w:type="paragraph" w:customStyle="1" w:styleId="AKAPITY">
    <w:name w:val="AKAPITY"/>
    <w:basedOn w:val="Normalny"/>
    <w:qFormat/>
    <w:rsid w:val="00D84203"/>
    <w:pPr>
      <w:spacing w:after="0" w:line="360" w:lineRule="auto"/>
      <w:ind w:firstLine="709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customStyle="1" w:styleId="PodpisRysunki">
    <w:name w:val="Podpis Rysunki"/>
    <w:basedOn w:val="Normalny"/>
    <w:qFormat/>
    <w:rsid w:val="00D84203"/>
    <w:pPr>
      <w:autoSpaceDE w:val="0"/>
      <w:autoSpaceDN w:val="0"/>
      <w:adjustRightInd w:val="0"/>
      <w:spacing w:before="120" w:after="0"/>
      <w:jc w:val="center"/>
    </w:pPr>
    <w:rPr>
      <w:rFonts w:ascii="Calibri" w:eastAsia="Calibri" w:hAnsi="Calibri" w:cs="Times New Roman"/>
      <w:b/>
      <w:szCs w:val="24"/>
    </w:rPr>
  </w:style>
  <w:style w:type="paragraph" w:customStyle="1" w:styleId="rdo">
    <w:name w:val="Źródło"/>
    <w:basedOn w:val="Normalny"/>
    <w:qFormat/>
    <w:rsid w:val="00D84203"/>
    <w:pPr>
      <w:autoSpaceDE w:val="0"/>
      <w:autoSpaceDN w:val="0"/>
      <w:adjustRightInd w:val="0"/>
      <w:spacing w:after="120"/>
      <w:jc w:val="center"/>
    </w:pPr>
    <w:rPr>
      <w:rFonts w:ascii="Calibri" w:eastAsia="Calibri" w:hAnsi="Calibri" w:cs="Times New Roman"/>
      <w:i/>
      <w:sz w:val="20"/>
      <w:lang w:eastAsia="pl-PL"/>
    </w:rPr>
  </w:style>
  <w:style w:type="paragraph" w:customStyle="1" w:styleId="Akapit">
    <w:name w:val="Akapit"/>
    <w:basedOn w:val="Normalny"/>
    <w:qFormat/>
    <w:rsid w:val="0012509F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D2728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728B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12A5"/>
    <w:pPr>
      <w:spacing w:after="0" w:line="36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12A5"/>
    <w:rPr>
      <w:rFonts w:eastAsia="Times New Roman" w:cs="Times New Roman"/>
      <w:sz w:val="24"/>
      <w:szCs w:val="24"/>
      <w:lang w:eastAsia="pl-PL"/>
    </w:rPr>
  </w:style>
  <w:style w:type="paragraph" w:customStyle="1" w:styleId="Akapity0">
    <w:name w:val="Akapity"/>
    <w:basedOn w:val="Normalny"/>
    <w:qFormat/>
    <w:rsid w:val="005B0EAD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1C"/>
  </w:style>
  <w:style w:type="paragraph" w:styleId="Stopka">
    <w:name w:val="footer"/>
    <w:basedOn w:val="Normalny"/>
    <w:link w:val="StopkaZnak"/>
    <w:uiPriority w:val="99"/>
    <w:unhideWhenUsed/>
    <w:rsid w:val="0080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1C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492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492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D492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F5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4C"/>
    <w:rPr>
      <w:vertAlign w:val="superscript"/>
    </w:rPr>
  </w:style>
  <w:style w:type="table" w:styleId="Tabela-Siatka">
    <w:name w:val="Table Grid"/>
    <w:basedOn w:val="Standardowy"/>
    <w:uiPriority w:val="59"/>
    <w:rsid w:val="0009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5217-1673-4A10-8004-5D1C90A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Meritum Competence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3</dc:creator>
  <cp:lastModifiedBy>AB</cp:lastModifiedBy>
  <cp:revision>37</cp:revision>
  <cp:lastPrinted>2017-08-08T07:15:00Z</cp:lastPrinted>
  <dcterms:created xsi:type="dcterms:W3CDTF">2017-04-25T08:11:00Z</dcterms:created>
  <dcterms:modified xsi:type="dcterms:W3CDTF">2017-08-08T07:15:00Z</dcterms:modified>
</cp:coreProperties>
</file>