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33E" w:rsidRDefault="007A133E" w:rsidP="007A133E">
      <w:pPr>
        <w:keepNext/>
        <w:autoSpaceDE w:val="0"/>
        <w:autoSpaceDN w:val="0"/>
        <w:adjustRightInd w:val="0"/>
        <w:spacing w:before="160" w:after="320" w:line="240" w:lineRule="auto"/>
        <w:jc w:val="right"/>
        <w:rPr>
          <w:rFonts w:ascii="Arial" w:eastAsia="Times New Roman" w:hAnsi="Arial" w:cs="Calibri"/>
          <w:b/>
          <w:kern w:val="0"/>
          <w:sz w:val="32"/>
          <w:szCs w:val="24"/>
          <w:lang w:eastAsia="pl-PL"/>
        </w:rPr>
      </w:pPr>
    </w:p>
    <w:p w:rsidR="007A133E" w:rsidRDefault="007A133E" w:rsidP="007A133E">
      <w:pPr>
        <w:spacing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Załącznik Nr 3</w:t>
      </w:r>
    </w:p>
    <w:p w:rsidR="007A133E" w:rsidRDefault="007A133E" w:rsidP="007A133E">
      <w:pPr>
        <w:spacing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 uchwały N</w:t>
      </w:r>
      <w:r w:rsidR="00913472">
        <w:rPr>
          <w:rFonts w:ascii="Tahoma" w:hAnsi="Tahoma" w:cs="Tahoma"/>
          <w:sz w:val="20"/>
          <w:szCs w:val="20"/>
        </w:rPr>
        <w:t xml:space="preserve">r </w:t>
      </w:r>
      <w:r w:rsidR="007869C4">
        <w:rPr>
          <w:rFonts w:ascii="Tahoma" w:hAnsi="Tahoma" w:cs="Tahoma"/>
          <w:sz w:val="20"/>
          <w:szCs w:val="20"/>
        </w:rPr>
        <w:t>LXXII/577/23</w:t>
      </w:r>
    </w:p>
    <w:p w:rsidR="007A133E" w:rsidRDefault="007A133E" w:rsidP="007A133E">
      <w:pPr>
        <w:spacing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Rady Gminy Mrągowo z dni</w:t>
      </w:r>
      <w:r w:rsidR="00913472">
        <w:rPr>
          <w:rFonts w:ascii="Tahoma" w:hAnsi="Tahoma" w:cs="Tahoma"/>
          <w:sz w:val="20"/>
          <w:szCs w:val="20"/>
        </w:rPr>
        <w:t xml:space="preserve">a </w:t>
      </w:r>
      <w:r w:rsidR="00822B0A">
        <w:rPr>
          <w:rFonts w:ascii="Tahoma" w:hAnsi="Tahoma" w:cs="Tahoma"/>
          <w:sz w:val="20"/>
          <w:szCs w:val="20"/>
        </w:rPr>
        <w:t>25 października</w:t>
      </w:r>
      <w:r w:rsidR="00913472">
        <w:rPr>
          <w:rFonts w:ascii="Tahoma" w:hAnsi="Tahoma" w:cs="Tahoma"/>
          <w:sz w:val="20"/>
          <w:szCs w:val="20"/>
        </w:rPr>
        <w:t>2023 r.</w:t>
      </w:r>
    </w:p>
    <w:p w:rsidR="007A133E" w:rsidRPr="00AC5FC4" w:rsidRDefault="007A133E" w:rsidP="007A133E">
      <w:pPr>
        <w:spacing w:line="240" w:lineRule="auto"/>
        <w:jc w:val="right"/>
        <w:rPr>
          <w:rFonts w:ascii="Tahoma" w:hAnsi="Tahoma" w:cs="Tahoma"/>
          <w:sz w:val="20"/>
          <w:szCs w:val="20"/>
        </w:rPr>
      </w:pPr>
      <w:r w:rsidRPr="00AC5FC4">
        <w:rPr>
          <w:rFonts w:ascii="Tahoma" w:hAnsi="Tahoma" w:cs="Tahoma"/>
          <w:sz w:val="20"/>
          <w:szCs w:val="20"/>
        </w:rPr>
        <w:t>w sprawie: zmiany WPF Gminy Mrągowo na lat 2023-2037</w:t>
      </w:r>
    </w:p>
    <w:p w:rsidR="00822B0A" w:rsidRDefault="00822B0A" w:rsidP="00822B0A">
      <w:pPr>
        <w:keepNext/>
        <w:autoSpaceDE w:val="0"/>
        <w:autoSpaceDN w:val="0"/>
        <w:adjustRightInd w:val="0"/>
        <w:spacing w:before="160" w:after="320" w:line="240" w:lineRule="auto"/>
        <w:jc w:val="center"/>
        <w:rPr>
          <w:rFonts w:ascii="Arial" w:eastAsia="Times New Roman" w:hAnsi="Arial" w:cs="Calibri"/>
          <w:b/>
          <w:kern w:val="0"/>
          <w:sz w:val="32"/>
          <w:szCs w:val="24"/>
          <w:lang w:eastAsia="pl-PL"/>
        </w:rPr>
      </w:pPr>
    </w:p>
    <w:p w:rsidR="00822B0A" w:rsidRPr="00822B0A" w:rsidRDefault="00822B0A" w:rsidP="00822B0A">
      <w:pPr>
        <w:keepNext/>
        <w:autoSpaceDE w:val="0"/>
        <w:autoSpaceDN w:val="0"/>
        <w:adjustRightInd w:val="0"/>
        <w:spacing w:before="160" w:after="32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24"/>
          <w:lang w:eastAsia="pl-PL"/>
        </w:rPr>
      </w:pPr>
      <w:r w:rsidRPr="00822B0A">
        <w:rPr>
          <w:rFonts w:ascii="Arial" w:eastAsia="Times New Roman" w:hAnsi="Arial" w:cs="Calibri"/>
          <w:b/>
          <w:kern w:val="0"/>
          <w:sz w:val="32"/>
          <w:szCs w:val="24"/>
          <w:lang w:eastAsia="pl-PL"/>
        </w:rPr>
        <w:t>Objaśnienia przyjętych wartości do Wieloletniej Prognozy Finansowej Gminy Mrągowo na lata 2023-2037</w:t>
      </w:r>
    </w:p>
    <w:p w:rsidR="00822B0A" w:rsidRPr="00822B0A" w:rsidRDefault="00822B0A" w:rsidP="00822B0A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822B0A">
        <w:rPr>
          <w:rFonts w:ascii="Arial" w:eastAsia="Times New Roman" w:hAnsi="Arial" w:cs="Calibri"/>
          <w:kern w:val="0"/>
          <w:sz w:val="20"/>
          <w:szCs w:val="24"/>
          <w:lang w:eastAsia="pl-PL"/>
        </w:rPr>
        <w:t xml:space="preserve">Zgodnie ze zmianami w budżecie na dzień 25 października 2023 r., dokonano następujących zmian </w:t>
      </w:r>
      <w:r w:rsidR="007869C4">
        <w:rPr>
          <w:rFonts w:ascii="Arial" w:eastAsia="Times New Roman" w:hAnsi="Arial" w:cs="Calibri"/>
          <w:kern w:val="0"/>
          <w:sz w:val="20"/>
          <w:szCs w:val="24"/>
          <w:lang w:eastAsia="pl-PL"/>
        </w:rPr>
        <w:br/>
      </w:r>
      <w:r w:rsidRPr="00822B0A">
        <w:rPr>
          <w:rFonts w:ascii="Arial" w:eastAsia="Times New Roman" w:hAnsi="Arial" w:cs="Calibri"/>
          <w:kern w:val="0"/>
          <w:sz w:val="20"/>
          <w:szCs w:val="24"/>
          <w:lang w:eastAsia="pl-PL"/>
        </w:rPr>
        <w:t>w Wieloletniej Prognozie Finansowej Gminy Mrągowo:</w:t>
      </w:r>
    </w:p>
    <w:p w:rsidR="00822B0A" w:rsidRPr="00822B0A" w:rsidRDefault="00822B0A" w:rsidP="007869C4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822B0A">
        <w:rPr>
          <w:rFonts w:ascii="Arial" w:eastAsia="Times New Roman" w:hAnsi="Arial" w:cs="Calibri"/>
          <w:kern w:val="0"/>
          <w:sz w:val="20"/>
          <w:szCs w:val="24"/>
          <w:lang w:eastAsia="pl-PL"/>
        </w:rPr>
        <w:t xml:space="preserve">Dochody ogółem zwiększono o 1 841 537,22 zł, z czego dochody bieżące zwiększono </w:t>
      </w:r>
      <w:r w:rsidR="007869C4">
        <w:rPr>
          <w:rFonts w:ascii="Arial" w:eastAsia="Times New Roman" w:hAnsi="Arial" w:cs="Calibri"/>
          <w:kern w:val="0"/>
          <w:sz w:val="20"/>
          <w:szCs w:val="24"/>
          <w:lang w:eastAsia="pl-PL"/>
        </w:rPr>
        <w:br/>
      </w:r>
      <w:r w:rsidRPr="00822B0A">
        <w:rPr>
          <w:rFonts w:ascii="Arial" w:eastAsia="Times New Roman" w:hAnsi="Arial" w:cs="Calibri"/>
          <w:kern w:val="0"/>
          <w:sz w:val="20"/>
          <w:szCs w:val="24"/>
          <w:lang w:eastAsia="pl-PL"/>
        </w:rPr>
        <w:t>o 1 841 537,22 zł, a dochody majątkowe nie uległy zmianie.</w:t>
      </w:r>
    </w:p>
    <w:p w:rsidR="00822B0A" w:rsidRPr="00822B0A" w:rsidRDefault="00822B0A" w:rsidP="007869C4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822B0A">
        <w:rPr>
          <w:rFonts w:ascii="Arial" w:eastAsia="Times New Roman" w:hAnsi="Arial" w:cs="Calibri"/>
          <w:kern w:val="0"/>
          <w:sz w:val="20"/>
          <w:szCs w:val="24"/>
          <w:lang w:eastAsia="pl-PL"/>
        </w:rPr>
        <w:t xml:space="preserve">Wydatki ogółem zwiększono o 1 841 537,22 zł, z czego wydatki bieżące zwiększono </w:t>
      </w:r>
      <w:r w:rsidR="007869C4">
        <w:rPr>
          <w:rFonts w:ascii="Arial" w:eastAsia="Times New Roman" w:hAnsi="Arial" w:cs="Calibri"/>
          <w:kern w:val="0"/>
          <w:sz w:val="20"/>
          <w:szCs w:val="24"/>
          <w:lang w:eastAsia="pl-PL"/>
        </w:rPr>
        <w:br/>
      </w:r>
      <w:r w:rsidRPr="00822B0A">
        <w:rPr>
          <w:rFonts w:ascii="Arial" w:eastAsia="Times New Roman" w:hAnsi="Arial" w:cs="Calibri"/>
          <w:kern w:val="0"/>
          <w:sz w:val="20"/>
          <w:szCs w:val="24"/>
          <w:lang w:eastAsia="pl-PL"/>
        </w:rPr>
        <w:t>o 1 848 037,22 zł, a wydatki majątkowe zmniejszono o 6 500,00 zł.</w:t>
      </w:r>
    </w:p>
    <w:p w:rsidR="00822B0A" w:rsidRPr="00822B0A" w:rsidRDefault="00822B0A" w:rsidP="00822B0A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contextualSpacing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822B0A">
        <w:rPr>
          <w:rFonts w:ascii="Arial" w:eastAsia="Times New Roman" w:hAnsi="Arial" w:cs="Calibri"/>
          <w:kern w:val="0"/>
          <w:sz w:val="20"/>
          <w:szCs w:val="24"/>
          <w:lang w:eastAsia="pl-PL"/>
        </w:rPr>
        <w:t>Wynik budżetu nie uległ zmianie.</w:t>
      </w:r>
    </w:p>
    <w:p w:rsidR="00822B0A" w:rsidRPr="00822B0A" w:rsidRDefault="00822B0A" w:rsidP="00822B0A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822B0A">
        <w:rPr>
          <w:rFonts w:ascii="Arial" w:eastAsia="Times New Roman" w:hAnsi="Arial" w:cs="Calibri"/>
          <w:kern w:val="0"/>
          <w:sz w:val="20"/>
          <w:szCs w:val="24"/>
          <w:lang w:eastAsia="pl-PL"/>
        </w:rPr>
        <w:t>Szczegółowe informacje na temat zmian w zakresie dochodów, wydatków i wyniku budżetu w roku budżetowym przedstawiono w tabeli poniżej.</w:t>
      </w:r>
    </w:p>
    <w:p w:rsidR="00822B0A" w:rsidRPr="00822B0A" w:rsidRDefault="00822B0A" w:rsidP="00822B0A">
      <w:pPr>
        <w:keepNext/>
        <w:autoSpaceDE w:val="0"/>
        <w:autoSpaceDN w:val="0"/>
        <w:adjustRightInd w:val="0"/>
        <w:spacing w:before="160" w:after="0" w:line="240" w:lineRule="auto"/>
        <w:rPr>
          <w:rFonts w:ascii="Arial" w:eastAsia="Times New Roman" w:hAnsi="Arial" w:cs="Arial"/>
          <w:b/>
          <w:kern w:val="0"/>
          <w:sz w:val="20"/>
          <w:szCs w:val="24"/>
          <w:lang w:eastAsia="pl-PL"/>
        </w:rPr>
      </w:pPr>
      <w:r w:rsidRPr="00822B0A">
        <w:rPr>
          <w:rFonts w:ascii="Arial" w:eastAsia="Times New Roman" w:hAnsi="Arial" w:cs="Calibri"/>
          <w:b/>
          <w:kern w:val="0"/>
          <w:sz w:val="20"/>
          <w:szCs w:val="24"/>
          <w:lang w:eastAsia="pl-PL"/>
        </w:rPr>
        <w:t>Tabela 1. Zmiany w dochodach i wydatkach w 2023 roku</w:t>
      </w:r>
    </w:p>
    <w:tbl>
      <w:tblPr>
        <w:tblStyle w:val="Tabela-Prosty13"/>
        <w:tblW w:w="9072" w:type="dxa"/>
        <w:tblInd w:w="0" w:type="dxa"/>
        <w:tblLayout w:type="fixed"/>
        <w:tblCellMar>
          <w:left w:w="108" w:type="dxa"/>
          <w:right w:w="108" w:type="dxa"/>
        </w:tblCellMar>
        <w:tblLook w:val="04A0"/>
      </w:tblPr>
      <w:tblGrid>
        <w:gridCol w:w="2268"/>
        <w:gridCol w:w="2268"/>
        <w:gridCol w:w="2268"/>
        <w:gridCol w:w="2268"/>
      </w:tblGrid>
      <w:tr w:rsidR="00822B0A" w:rsidRPr="00822B0A">
        <w:trPr>
          <w:tblHeader/>
        </w:trPr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22B0A">
              <w:rPr>
                <w:rFonts w:ascii="Arial" w:hAnsi="Arial" w:cs="Calibri"/>
                <w:b/>
                <w:sz w:val="20"/>
              </w:rPr>
              <w:t>Wyszczególnienie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22B0A">
              <w:rPr>
                <w:rFonts w:ascii="Arial" w:hAnsi="Arial" w:cs="Calibri"/>
                <w:b/>
                <w:sz w:val="20"/>
              </w:rPr>
              <w:t>Przed zmianą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22B0A">
              <w:rPr>
                <w:rFonts w:ascii="Arial" w:hAnsi="Arial" w:cs="Calibri"/>
                <w:b/>
                <w:sz w:val="20"/>
              </w:rPr>
              <w:t>Zmiana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22B0A">
              <w:rPr>
                <w:rFonts w:ascii="Arial" w:hAnsi="Arial" w:cs="Calibri"/>
                <w:b/>
                <w:sz w:val="20"/>
              </w:rPr>
              <w:t>Po zmianie [zł]</w:t>
            </w:r>
          </w:p>
        </w:tc>
      </w:tr>
      <w:tr w:rsidR="00822B0A" w:rsidRPr="00822B0A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rPr>
                <w:rFonts w:ascii="Arial" w:hAnsi="Arial" w:cs="Arial"/>
                <w:b/>
                <w:sz w:val="20"/>
              </w:rPr>
            </w:pPr>
            <w:r w:rsidRPr="00822B0A">
              <w:rPr>
                <w:rFonts w:ascii="Arial" w:hAnsi="Arial" w:cs="Calibri"/>
                <w:b/>
                <w:sz w:val="20"/>
              </w:rPr>
              <w:t>Dochody ogółem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822B0A">
              <w:rPr>
                <w:rFonts w:ascii="Arial" w:hAnsi="Arial" w:cs="Calibri"/>
                <w:b/>
                <w:sz w:val="20"/>
              </w:rPr>
              <w:t>62 174 893,32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822B0A">
              <w:rPr>
                <w:rFonts w:ascii="Arial" w:hAnsi="Arial" w:cs="Calibri"/>
                <w:b/>
                <w:sz w:val="20"/>
              </w:rPr>
              <w:t>+1 841 537,22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822B0A">
              <w:rPr>
                <w:rFonts w:ascii="Arial" w:hAnsi="Arial" w:cs="Calibri"/>
                <w:b/>
                <w:sz w:val="20"/>
              </w:rPr>
              <w:t>64 016 430,54</w:t>
            </w:r>
          </w:p>
        </w:tc>
      </w:tr>
      <w:tr w:rsidR="00822B0A" w:rsidRPr="00822B0A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rPr>
                <w:rFonts w:ascii="Arial" w:hAnsi="Arial" w:cs="Arial"/>
                <w:b/>
                <w:sz w:val="20"/>
              </w:rPr>
            </w:pPr>
            <w:r w:rsidRPr="00822B0A">
              <w:rPr>
                <w:rFonts w:ascii="Arial" w:hAnsi="Arial" w:cs="Calibri"/>
                <w:b/>
                <w:sz w:val="20"/>
              </w:rPr>
              <w:t>Dochody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822B0A">
              <w:rPr>
                <w:rFonts w:ascii="Arial" w:hAnsi="Arial" w:cs="Calibri"/>
                <w:b/>
                <w:sz w:val="20"/>
              </w:rPr>
              <w:t>41 116 332,40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822B0A">
              <w:rPr>
                <w:rFonts w:ascii="Arial" w:hAnsi="Arial" w:cs="Calibri"/>
                <w:b/>
                <w:sz w:val="20"/>
              </w:rPr>
              <w:t>+1 841 537,22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822B0A">
              <w:rPr>
                <w:rFonts w:ascii="Arial" w:hAnsi="Arial" w:cs="Calibri"/>
                <w:b/>
                <w:sz w:val="20"/>
              </w:rPr>
              <w:t>42 957 869,62</w:t>
            </w:r>
          </w:p>
        </w:tc>
      </w:tr>
      <w:tr w:rsidR="00822B0A" w:rsidRPr="00822B0A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Subwencja ogólna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10 660 251,00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+94 216,50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10 754 467,50</w:t>
            </w:r>
          </w:p>
        </w:tc>
      </w:tr>
      <w:tr w:rsidR="00822B0A" w:rsidRPr="00822B0A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Dotacje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8 334 562,30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+1 613 181,72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9 947 744,02</w:t>
            </w:r>
          </w:p>
        </w:tc>
      </w:tr>
      <w:tr w:rsidR="00822B0A" w:rsidRPr="00822B0A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Pozostałe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16 247 729,10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+134 139,00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16 381 868,10</w:t>
            </w:r>
          </w:p>
        </w:tc>
      </w:tr>
      <w:tr w:rsidR="00822B0A" w:rsidRPr="00822B0A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rPr>
                <w:rFonts w:ascii="Arial" w:hAnsi="Arial" w:cs="Arial"/>
                <w:b/>
                <w:sz w:val="20"/>
              </w:rPr>
            </w:pPr>
            <w:r w:rsidRPr="00822B0A">
              <w:rPr>
                <w:rFonts w:ascii="Arial" w:hAnsi="Arial" w:cs="Calibri"/>
                <w:b/>
                <w:sz w:val="20"/>
              </w:rPr>
              <w:t>Wydatki ogółem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822B0A">
              <w:rPr>
                <w:rFonts w:ascii="Arial" w:hAnsi="Arial" w:cs="Calibri"/>
                <w:b/>
                <w:sz w:val="20"/>
              </w:rPr>
              <w:t>70 962 841,19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822B0A">
              <w:rPr>
                <w:rFonts w:ascii="Arial" w:hAnsi="Arial" w:cs="Calibri"/>
                <w:b/>
                <w:sz w:val="20"/>
              </w:rPr>
              <w:t>+1 841 537,22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822B0A">
              <w:rPr>
                <w:rFonts w:ascii="Arial" w:hAnsi="Arial" w:cs="Calibri"/>
                <w:b/>
                <w:sz w:val="20"/>
              </w:rPr>
              <w:t>72 804 378,41</w:t>
            </w:r>
          </w:p>
        </w:tc>
      </w:tr>
      <w:tr w:rsidR="00822B0A" w:rsidRPr="00822B0A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rPr>
                <w:rFonts w:ascii="Arial" w:hAnsi="Arial" w:cs="Arial"/>
                <w:b/>
                <w:sz w:val="20"/>
              </w:rPr>
            </w:pPr>
            <w:r w:rsidRPr="00822B0A">
              <w:rPr>
                <w:rFonts w:ascii="Arial" w:hAnsi="Arial" w:cs="Calibri"/>
                <w:b/>
                <w:sz w:val="20"/>
              </w:rPr>
              <w:t>Wydatki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822B0A">
              <w:rPr>
                <w:rFonts w:ascii="Arial" w:hAnsi="Arial" w:cs="Calibri"/>
                <w:b/>
                <w:sz w:val="20"/>
              </w:rPr>
              <w:t>42 577 028,81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822B0A">
              <w:rPr>
                <w:rFonts w:ascii="Arial" w:hAnsi="Arial" w:cs="Calibri"/>
                <w:b/>
                <w:sz w:val="20"/>
              </w:rPr>
              <w:t>+1 848 037,22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822B0A">
              <w:rPr>
                <w:rFonts w:ascii="Arial" w:hAnsi="Arial" w:cs="Calibri"/>
                <w:b/>
                <w:sz w:val="20"/>
              </w:rPr>
              <w:t>44 425 066,03</w:t>
            </w:r>
          </w:p>
        </w:tc>
      </w:tr>
      <w:tr w:rsidR="00822B0A" w:rsidRPr="00822B0A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Wynagrodzenia i pochodne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15 665 375,86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+42 897,31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15 708 273,17</w:t>
            </w:r>
          </w:p>
        </w:tc>
      </w:tr>
      <w:tr w:rsidR="00822B0A" w:rsidRPr="00822B0A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Pozostałe wydatki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25 256 652,95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+1 805 139,91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27 061 792,86</w:t>
            </w:r>
          </w:p>
        </w:tc>
      </w:tr>
      <w:tr w:rsidR="00822B0A" w:rsidRPr="00822B0A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rPr>
                <w:rFonts w:ascii="Arial" w:hAnsi="Arial" w:cs="Arial"/>
                <w:b/>
                <w:sz w:val="20"/>
              </w:rPr>
            </w:pPr>
            <w:r w:rsidRPr="00822B0A">
              <w:rPr>
                <w:rFonts w:ascii="Arial" w:hAnsi="Arial" w:cs="Calibri"/>
                <w:b/>
                <w:sz w:val="20"/>
              </w:rPr>
              <w:t>Wydatki majątkowe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822B0A">
              <w:rPr>
                <w:rFonts w:ascii="Arial" w:hAnsi="Arial" w:cs="Calibri"/>
                <w:b/>
                <w:sz w:val="20"/>
              </w:rPr>
              <w:t>28 385 812,38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822B0A">
              <w:rPr>
                <w:rFonts w:ascii="Arial" w:hAnsi="Arial" w:cs="Calibri"/>
                <w:b/>
                <w:sz w:val="20"/>
              </w:rPr>
              <w:t>-6 500,00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822B0A">
              <w:rPr>
                <w:rFonts w:ascii="Arial" w:hAnsi="Arial" w:cs="Calibri"/>
                <w:b/>
                <w:sz w:val="20"/>
              </w:rPr>
              <w:t>28 379 312,38</w:t>
            </w:r>
          </w:p>
        </w:tc>
      </w:tr>
    </w:tbl>
    <w:p w:rsidR="00822B0A" w:rsidRPr="00822B0A" w:rsidRDefault="00822B0A" w:rsidP="00822B0A">
      <w:pPr>
        <w:autoSpaceDE w:val="0"/>
        <w:autoSpaceDN w:val="0"/>
        <w:adjustRightInd w:val="0"/>
        <w:spacing w:line="240" w:lineRule="auto"/>
        <w:contextualSpacing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822B0A">
        <w:rPr>
          <w:rFonts w:ascii="Arial" w:eastAsia="Times New Roman" w:hAnsi="Arial" w:cs="Calibri"/>
          <w:kern w:val="0"/>
          <w:sz w:val="20"/>
          <w:szCs w:val="24"/>
          <w:lang w:eastAsia="pl-PL"/>
        </w:rPr>
        <w:t>Źródło: opracowanie własne.</w:t>
      </w:r>
    </w:p>
    <w:p w:rsidR="00822B0A" w:rsidRPr="00822B0A" w:rsidRDefault="00822B0A" w:rsidP="00822B0A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822B0A">
        <w:rPr>
          <w:rFonts w:ascii="Arial" w:eastAsia="Times New Roman" w:hAnsi="Arial" w:cs="Calibri"/>
          <w:kern w:val="0"/>
          <w:sz w:val="20"/>
          <w:szCs w:val="24"/>
          <w:lang w:eastAsia="pl-PL"/>
        </w:rPr>
        <w:t>W Wieloletniej Prognozie Finansowej Gminy Mrągowo:</w:t>
      </w:r>
    </w:p>
    <w:p w:rsidR="00822B0A" w:rsidRPr="00822B0A" w:rsidRDefault="00822B0A" w:rsidP="00822B0A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contextualSpacing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822B0A">
        <w:rPr>
          <w:rFonts w:ascii="Arial" w:eastAsia="Times New Roman" w:hAnsi="Arial" w:cs="Calibri"/>
          <w:kern w:val="0"/>
          <w:sz w:val="20"/>
          <w:szCs w:val="24"/>
          <w:lang w:eastAsia="pl-PL"/>
        </w:rPr>
        <w:t>Przychody nie uległy zmianie.</w:t>
      </w:r>
    </w:p>
    <w:p w:rsidR="00822B0A" w:rsidRPr="00822B0A" w:rsidRDefault="00822B0A" w:rsidP="00822B0A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contextualSpacing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822B0A">
        <w:rPr>
          <w:rFonts w:ascii="Arial" w:eastAsia="Times New Roman" w:hAnsi="Arial" w:cs="Calibri"/>
          <w:kern w:val="0"/>
          <w:sz w:val="20"/>
          <w:szCs w:val="24"/>
          <w:lang w:eastAsia="pl-PL"/>
        </w:rPr>
        <w:t>Rozchody nie uległy zmianie.</w:t>
      </w:r>
    </w:p>
    <w:p w:rsidR="00822B0A" w:rsidRPr="00822B0A" w:rsidRDefault="00822B0A" w:rsidP="00822B0A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822B0A">
        <w:rPr>
          <w:rFonts w:ascii="Arial" w:eastAsia="Times New Roman" w:hAnsi="Arial" w:cs="Calibri"/>
          <w:kern w:val="0"/>
          <w:sz w:val="20"/>
          <w:szCs w:val="24"/>
          <w:lang w:eastAsia="pl-PL"/>
        </w:rPr>
        <w:t>Zmiany w Wieloletniej Prognozie Finansowej Gminy Mrągowo na lata 2023-2037 spowodowały modyfikacje w kształtowaniu się relacji z art. 243 ustawy o finansach publicznych. Szczegóły zaprezentowano w tabeli poniżej.</w:t>
      </w:r>
    </w:p>
    <w:p w:rsidR="00822B0A" w:rsidRPr="00822B0A" w:rsidRDefault="00822B0A" w:rsidP="00822B0A">
      <w:pPr>
        <w:keepNext/>
        <w:autoSpaceDE w:val="0"/>
        <w:autoSpaceDN w:val="0"/>
        <w:adjustRightInd w:val="0"/>
        <w:spacing w:before="160" w:after="0" w:line="240" w:lineRule="auto"/>
        <w:rPr>
          <w:rFonts w:ascii="Arial" w:eastAsia="Times New Roman" w:hAnsi="Arial" w:cs="Arial"/>
          <w:b/>
          <w:kern w:val="0"/>
          <w:sz w:val="20"/>
          <w:szCs w:val="24"/>
          <w:lang w:eastAsia="pl-PL"/>
        </w:rPr>
      </w:pPr>
      <w:r w:rsidRPr="00822B0A">
        <w:rPr>
          <w:rFonts w:ascii="Arial" w:eastAsia="Times New Roman" w:hAnsi="Arial" w:cs="Calibri"/>
          <w:b/>
          <w:kern w:val="0"/>
          <w:sz w:val="20"/>
          <w:szCs w:val="24"/>
          <w:lang w:eastAsia="pl-PL"/>
        </w:rPr>
        <w:t>Tabela 2. Kształtowanie się relacji z art. 243 ust. 1 ustawy o finansach publicznych</w:t>
      </w:r>
    </w:p>
    <w:tbl>
      <w:tblPr>
        <w:tblStyle w:val="Tabela-Prosty13"/>
        <w:tblW w:w="9072" w:type="dxa"/>
        <w:tblInd w:w="0" w:type="dxa"/>
        <w:tblLayout w:type="fixed"/>
        <w:tblCellMar>
          <w:left w:w="108" w:type="dxa"/>
          <w:right w:w="108" w:type="dxa"/>
        </w:tblCellMar>
        <w:tblLook w:val="04A0"/>
      </w:tblPr>
      <w:tblGrid>
        <w:gridCol w:w="1512"/>
        <w:gridCol w:w="1512"/>
        <w:gridCol w:w="1511"/>
        <w:gridCol w:w="1511"/>
        <w:gridCol w:w="1511"/>
        <w:gridCol w:w="1515"/>
      </w:tblGrid>
      <w:tr w:rsidR="00822B0A" w:rsidRPr="00822B0A">
        <w:trPr>
          <w:tblHeader/>
        </w:trPr>
        <w:tc>
          <w:tcPr>
            <w:tcW w:w="825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22B0A">
              <w:rPr>
                <w:rFonts w:ascii="Arial" w:hAnsi="Arial" w:cs="Calibri"/>
                <w:b/>
                <w:sz w:val="20"/>
              </w:rPr>
              <w:t>Rok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22B0A">
              <w:rPr>
                <w:rFonts w:ascii="Arial" w:hAnsi="Arial" w:cs="Calibri"/>
                <w:b/>
                <w:sz w:val="20"/>
              </w:rPr>
              <w:t>Obsługa zadłużenia (fakt. i plan. po wyłączeniach)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22B0A">
              <w:rPr>
                <w:rFonts w:ascii="Arial" w:hAnsi="Arial" w:cs="Calibri"/>
                <w:b/>
                <w:sz w:val="20"/>
              </w:rPr>
              <w:t>Maksymalna obsługa zadłużenia (wg planu po III kwartale)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22B0A">
              <w:rPr>
                <w:rFonts w:ascii="Arial" w:hAnsi="Arial" w:cs="Calibri"/>
                <w:b/>
                <w:sz w:val="20"/>
              </w:rPr>
              <w:t>Zachowanie relacji z art. 243 (w oparciu o plan po 3 kwartale)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22B0A">
              <w:rPr>
                <w:rFonts w:ascii="Arial" w:hAnsi="Arial" w:cs="Calibri"/>
                <w:b/>
                <w:sz w:val="20"/>
              </w:rPr>
              <w:t>Maksymalna obsługa zadłużenia (wg przewidywanego wykonania)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22B0A">
              <w:rPr>
                <w:rFonts w:ascii="Arial" w:hAnsi="Arial" w:cs="Calibri"/>
                <w:b/>
                <w:sz w:val="20"/>
              </w:rPr>
              <w:t>Zachowanie relacji z art. 243 (w oparciu o przewidywane wykonanie)</w:t>
            </w:r>
          </w:p>
        </w:tc>
      </w:tr>
      <w:tr w:rsidR="00822B0A" w:rsidRPr="00822B0A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2023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10,22%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17,98%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21,15%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TAK</w:t>
            </w:r>
          </w:p>
        </w:tc>
      </w:tr>
      <w:tr w:rsidR="00822B0A" w:rsidRPr="00822B0A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2024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9,44%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14,87%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18,04%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TAK</w:t>
            </w:r>
          </w:p>
        </w:tc>
      </w:tr>
      <w:tr w:rsidR="00822B0A" w:rsidRPr="00822B0A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lastRenderedPageBreak/>
              <w:t>2025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8,36%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13,17%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16,34%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TAK</w:t>
            </w:r>
          </w:p>
        </w:tc>
      </w:tr>
      <w:tr w:rsidR="00822B0A" w:rsidRPr="00822B0A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2026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7,14%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8,38%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10,14%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TAK</w:t>
            </w:r>
          </w:p>
        </w:tc>
      </w:tr>
      <w:tr w:rsidR="00822B0A" w:rsidRPr="00822B0A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2027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6,51%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9,92%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11,68%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TAK</w:t>
            </w:r>
          </w:p>
        </w:tc>
      </w:tr>
      <w:tr w:rsidR="00822B0A" w:rsidRPr="00822B0A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2028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6,00%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9,57%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11,33%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TAK</w:t>
            </w:r>
          </w:p>
        </w:tc>
      </w:tr>
      <w:tr w:rsidR="00822B0A" w:rsidRPr="00822B0A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2029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6,08%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9,02%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10,78%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TAK</w:t>
            </w:r>
          </w:p>
        </w:tc>
      </w:tr>
      <w:tr w:rsidR="00822B0A" w:rsidRPr="00822B0A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2030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6,00%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9,92%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9,92%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TAK</w:t>
            </w:r>
          </w:p>
        </w:tc>
      </w:tr>
      <w:tr w:rsidR="00822B0A" w:rsidRPr="00822B0A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2031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4,52%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11,38%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11,38%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TAK</w:t>
            </w:r>
          </w:p>
        </w:tc>
      </w:tr>
      <w:tr w:rsidR="00822B0A" w:rsidRPr="00822B0A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2032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4,70%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11,13%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11,13%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TAK</w:t>
            </w:r>
          </w:p>
        </w:tc>
      </w:tr>
      <w:tr w:rsidR="00822B0A" w:rsidRPr="00822B0A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2033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4,05%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11,17%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11,17%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TAK</w:t>
            </w:r>
          </w:p>
        </w:tc>
      </w:tr>
      <w:tr w:rsidR="00822B0A" w:rsidRPr="00822B0A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2034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4,66%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11,27%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11,27%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TAK</w:t>
            </w:r>
          </w:p>
        </w:tc>
      </w:tr>
      <w:tr w:rsidR="00822B0A" w:rsidRPr="00822B0A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2035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4,04%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11,36%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11,36%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TAK</w:t>
            </w:r>
          </w:p>
        </w:tc>
      </w:tr>
      <w:tr w:rsidR="00822B0A" w:rsidRPr="00822B0A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2036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2,73%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11,39%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11,39%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TAK</w:t>
            </w:r>
          </w:p>
        </w:tc>
      </w:tr>
      <w:tr w:rsidR="00822B0A" w:rsidRPr="00822B0A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2037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2,50%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11,36%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right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11,36%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822B0A" w:rsidRPr="00822B0A" w:rsidRDefault="00822B0A" w:rsidP="00822B0A">
            <w:pPr>
              <w:jc w:val="center"/>
              <w:rPr>
                <w:rFonts w:ascii="Arial" w:hAnsi="Arial" w:cs="Arial"/>
                <w:sz w:val="20"/>
              </w:rPr>
            </w:pPr>
            <w:r w:rsidRPr="00822B0A">
              <w:rPr>
                <w:rFonts w:ascii="Arial" w:hAnsi="Arial" w:cs="Calibri"/>
                <w:sz w:val="20"/>
              </w:rPr>
              <w:t>TAK</w:t>
            </w:r>
          </w:p>
        </w:tc>
      </w:tr>
    </w:tbl>
    <w:p w:rsidR="00822B0A" w:rsidRPr="00822B0A" w:rsidRDefault="00822B0A" w:rsidP="00822B0A">
      <w:pPr>
        <w:autoSpaceDE w:val="0"/>
        <w:autoSpaceDN w:val="0"/>
        <w:adjustRightInd w:val="0"/>
        <w:spacing w:line="240" w:lineRule="auto"/>
        <w:contextualSpacing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822B0A">
        <w:rPr>
          <w:rFonts w:ascii="Arial" w:eastAsia="Times New Roman" w:hAnsi="Arial" w:cs="Calibri"/>
          <w:kern w:val="0"/>
          <w:sz w:val="20"/>
          <w:szCs w:val="24"/>
          <w:lang w:eastAsia="pl-PL"/>
        </w:rPr>
        <w:t>Źródło: Opracowanie własne.</w:t>
      </w:r>
    </w:p>
    <w:p w:rsidR="00822B0A" w:rsidRPr="00822B0A" w:rsidRDefault="00822B0A" w:rsidP="00822B0A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822B0A">
        <w:rPr>
          <w:rFonts w:ascii="Arial" w:eastAsia="Times New Roman" w:hAnsi="Arial" w:cs="Calibri"/>
          <w:kern w:val="0"/>
          <w:sz w:val="20"/>
          <w:szCs w:val="24"/>
          <w:lang w:eastAsia="pl-PL"/>
        </w:rPr>
        <w:t xml:space="preserve">Dane w tabeli powyżej wskazują, że w całym okresie prognozy Gmina Mrągowo spełnia relację, </w:t>
      </w:r>
      <w:r w:rsidR="007869C4">
        <w:rPr>
          <w:rFonts w:ascii="Arial" w:eastAsia="Times New Roman" w:hAnsi="Arial" w:cs="Calibri"/>
          <w:kern w:val="0"/>
          <w:sz w:val="20"/>
          <w:szCs w:val="24"/>
          <w:lang w:eastAsia="pl-PL"/>
        </w:rPr>
        <w:br/>
      </w:r>
      <w:r w:rsidRPr="00822B0A">
        <w:rPr>
          <w:rFonts w:ascii="Arial" w:eastAsia="Times New Roman" w:hAnsi="Arial" w:cs="Calibri"/>
          <w:kern w:val="0"/>
          <w:sz w:val="20"/>
          <w:szCs w:val="24"/>
          <w:lang w:eastAsia="pl-PL"/>
        </w:rPr>
        <w:t>o której mowa w art. 243 ust. 1 ustawy o finansach publicznych. Spełnienie dotyczy zarówno relacji obliczonej na podstawie planu na dzień 30.09.2022 r. jak i w oparciu o kolumnę „2022 przewidywane wykonanie”.</w:t>
      </w:r>
    </w:p>
    <w:p w:rsidR="00822B0A" w:rsidRPr="00822B0A" w:rsidRDefault="00822B0A" w:rsidP="00822B0A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822B0A">
        <w:rPr>
          <w:rFonts w:ascii="Arial" w:eastAsia="Times New Roman" w:hAnsi="Arial" w:cs="Calibri"/>
          <w:kern w:val="0"/>
          <w:sz w:val="20"/>
          <w:szCs w:val="24"/>
          <w:lang w:eastAsia="pl-PL"/>
        </w:rPr>
        <w:t xml:space="preserve">Zmiana Wieloletniej Prognozy Finansowej Gminy Mrągowo obejmuje również zmiany w załączniku </w:t>
      </w:r>
      <w:r w:rsidR="007869C4">
        <w:rPr>
          <w:rFonts w:ascii="Arial" w:eastAsia="Times New Roman" w:hAnsi="Arial" w:cs="Calibri"/>
          <w:kern w:val="0"/>
          <w:sz w:val="20"/>
          <w:szCs w:val="24"/>
          <w:lang w:eastAsia="pl-PL"/>
        </w:rPr>
        <w:br/>
      </w:r>
      <w:r w:rsidRPr="00822B0A">
        <w:rPr>
          <w:rFonts w:ascii="Arial" w:eastAsia="Times New Roman" w:hAnsi="Arial" w:cs="Calibri"/>
          <w:kern w:val="0"/>
          <w:sz w:val="20"/>
          <w:szCs w:val="24"/>
          <w:lang w:eastAsia="pl-PL"/>
        </w:rPr>
        <w:t>nr 2, które szczegółowo opisano poniżej.</w:t>
      </w:r>
    </w:p>
    <w:p w:rsidR="00822B0A" w:rsidRPr="00822B0A" w:rsidRDefault="00822B0A" w:rsidP="00822B0A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822B0A">
        <w:rPr>
          <w:rFonts w:ascii="Arial" w:eastAsia="Times New Roman" w:hAnsi="Arial" w:cs="Calibri"/>
          <w:kern w:val="0"/>
          <w:sz w:val="20"/>
          <w:szCs w:val="24"/>
          <w:lang w:eastAsia="pl-PL"/>
        </w:rPr>
        <w:t>Do załącznika nr 2 dodano następujące przedsięwzięcia:</w:t>
      </w:r>
    </w:p>
    <w:p w:rsidR="00822B0A" w:rsidRPr="00822B0A" w:rsidRDefault="00822B0A" w:rsidP="00822B0A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contextualSpacing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822B0A">
        <w:rPr>
          <w:rFonts w:ascii="Arial" w:eastAsia="Times New Roman" w:hAnsi="Arial" w:cs="Calibri"/>
          <w:kern w:val="0"/>
          <w:sz w:val="20"/>
          <w:szCs w:val="24"/>
          <w:lang w:eastAsia="pl-PL"/>
        </w:rPr>
        <w:t>Kanalizacja Popowo Salęckie - Zawada;</w:t>
      </w:r>
    </w:p>
    <w:p w:rsidR="00822B0A" w:rsidRPr="00822B0A" w:rsidRDefault="007869C4" w:rsidP="00822B0A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contextualSpacing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>
        <w:rPr>
          <w:rFonts w:ascii="Arial" w:eastAsia="Times New Roman" w:hAnsi="Arial" w:cs="Calibri"/>
          <w:kern w:val="0"/>
          <w:sz w:val="20"/>
          <w:szCs w:val="24"/>
          <w:lang w:eastAsia="pl-PL"/>
        </w:rPr>
        <w:t>Wodocią</w:t>
      </w:r>
      <w:r w:rsidR="00822B0A" w:rsidRPr="00822B0A">
        <w:rPr>
          <w:rFonts w:ascii="Arial" w:eastAsia="Times New Roman" w:hAnsi="Arial" w:cs="Calibri"/>
          <w:kern w:val="0"/>
          <w:sz w:val="20"/>
          <w:szCs w:val="24"/>
          <w:lang w:eastAsia="pl-PL"/>
        </w:rPr>
        <w:t>g Karwie.</w:t>
      </w:r>
    </w:p>
    <w:p w:rsidR="00822B0A" w:rsidRPr="00822B0A" w:rsidRDefault="00822B0A" w:rsidP="00822B0A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822B0A">
        <w:rPr>
          <w:rFonts w:ascii="Arial" w:eastAsia="Times New Roman" w:hAnsi="Arial" w:cs="Calibri"/>
          <w:kern w:val="0"/>
          <w:sz w:val="20"/>
          <w:szCs w:val="24"/>
          <w:lang w:eastAsia="pl-PL"/>
        </w:rPr>
        <w:t>Dokonano zmian w zakresie następujących przedsięwzięć:</w:t>
      </w:r>
    </w:p>
    <w:p w:rsidR="00822B0A" w:rsidRPr="00822B0A" w:rsidRDefault="00822B0A" w:rsidP="00822B0A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contextualSpacing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822B0A">
        <w:rPr>
          <w:rFonts w:ascii="Arial" w:eastAsia="Times New Roman" w:hAnsi="Arial" w:cs="Calibri"/>
          <w:kern w:val="0"/>
          <w:sz w:val="20"/>
          <w:szCs w:val="24"/>
          <w:lang w:eastAsia="pl-PL"/>
        </w:rPr>
        <w:t>Budowa ogólnodostępnego pomostu rekreacyjnego w miejscowości Mierzejewo;</w:t>
      </w:r>
    </w:p>
    <w:p w:rsidR="00822B0A" w:rsidRPr="00822B0A" w:rsidRDefault="00822B0A" w:rsidP="00822B0A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contextualSpacing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822B0A">
        <w:rPr>
          <w:rFonts w:ascii="Arial" w:eastAsia="Times New Roman" w:hAnsi="Arial" w:cs="Calibri"/>
          <w:kern w:val="0"/>
          <w:sz w:val="20"/>
          <w:szCs w:val="24"/>
          <w:lang w:eastAsia="pl-PL"/>
        </w:rPr>
        <w:t>Odbieranie, transport i zagospodarowanie odpadów komunalnych z terenu Gminy Mrągowo.</w:t>
      </w:r>
    </w:p>
    <w:p w:rsidR="00822B0A" w:rsidRPr="00822B0A" w:rsidRDefault="00822B0A" w:rsidP="00822B0A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822B0A">
        <w:rPr>
          <w:rFonts w:ascii="Arial" w:eastAsia="Times New Roman" w:hAnsi="Arial" w:cs="Calibri"/>
          <w:kern w:val="0"/>
          <w:sz w:val="20"/>
          <w:szCs w:val="24"/>
          <w:lang w:eastAsia="pl-PL"/>
        </w:rPr>
        <w:t>Z załącznika nr 2 usunięto następujące przedsięwzięcia:</w:t>
      </w:r>
    </w:p>
    <w:p w:rsidR="00822B0A" w:rsidRPr="00822B0A" w:rsidRDefault="00822B0A" w:rsidP="00822B0A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contextualSpacing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822B0A">
        <w:rPr>
          <w:rFonts w:ascii="Arial" w:eastAsia="Times New Roman" w:hAnsi="Arial" w:cs="Calibri"/>
          <w:kern w:val="0"/>
          <w:sz w:val="20"/>
          <w:szCs w:val="24"/>
          <w:lang w:eastAsia="pl-PL"/>
        </w:rPr>
        <w:t>Kanalizacja Zawada;</w:t>
      </w:r>
    </w:p>
    <w:p w:rsidR="00822B0A" w:rsidRPr="00822B0A" w:rsidRDefault="00822B0A" w:rsidP="00822B0A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contextualSpacing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822B0A">
        <w:rPr>
          <w:rFonts w:ascii="Arial" w:eastAsia="Times New Roman" w:hAnsi="Arial" w:cs="Calibri"/>
          <w:kern w:val="0"/>
          <w:sz w:val="20"/>
          <w:szCs w:val="24"/>
          <w:lang w:eastAsia="pl-PL"/>
        </w:rPr>
        <w:t>Kanalizacja Popowo Salęckie.</w:t>
      </w:r>
    </w:p>
    <w:p w:rsidR="00822B0A" w:rsidRPr="00822B0A" w:rsidRDefault="00822B0A" w:rsidP="00822B0A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822B0A">
        <w:rPr>
          <w:rFonts w:ascii="Arial" w:eastAsia="Times New Roman" w:hAnsi="Arial" w:cs="Calibri"/>
          <w:kern w:val="0"/>
          <w:sz w:val="20"/>
          <w:szCs w:val="24"/>
          <w:lang w:eastAsia="pl-PL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:rsidR="00822B0A" w:rsidRPr="00822B0A" w:rsidRDefault="00822B0A" w:rsidP="00822B0A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4"/>
          <w:lang w:eastAsia="pl-PL"/>
        </w:rPr>
      </w:pPr>
      <w:r w:rsidRPr="00822B0A">
        <w:rPr>
          <w:rFonts w:ascii="Arial" w:eastAsia="Times New Roman" w:hAnsi="Arial" w:cs="Calibri"/>
          <w:kern w:val="0"/>
          <w:sz w:val="20"/>
          <w:szCs w:val="24"/>
          <w:lang w:eastAsia="pl-PL"/>
        </w:rPr>
        <w:t>Pełen zakres zmian obrazują załączniki nr 1 i 2 do niniejszej uchwały.</w:t>
      </w:r>
    </w:p>
    <w:p w:rsidR="000B0D3C" w:rsidRDefault="000B0D3C" w:rsidP="007A133E">
      <w:pPr>
        <w:keepNext/>
        <w:autoSpaceDE w:val="0"/>
        <w:autoSpaceDN w:val="0"/>
        <w:adjustRightInd w:val="0"/>
        <w:spacing w:before="160" w:after="320" w:line="240" w:lineRule="auto"/>
        <w:rPr>
          <w:rFonts w:ascii="Arial" w:eastAsia="Times New Roman" w:hAnsi="Arial" w:cs="Calibri"/>
          <w:b/>
          <w:kern w:val="0"/>
          <w:sz w:val="32"/>
          <w:szCs w:val="24"/>
          <w:lang w:eastAsia="pl-PL"/>
        </w:rPr>
      </w:pPr>
    </w:p>
    <w:p w:rsidR="000B0D3C" w:rsidRDefault="000B0D3C" w:rsidP="007A133E">
      <w:pPr>
        <w:keepNext/>
        <w:autoSpaceDE w:val="0"/>
        <w:autoSpaceDN w:val="0"/>
        <w:adjustRightInd w:val="0"/>
        <w:spacing w:before="160" w:after="320" w:line="240" w:lineRule="auto"/>
        <w:rPr>
          <w:rFonts w:ascii="Arial" w:eastAsia="Times New Roman" w:hAnsi="Arial" w:cs="Calibri"/>
          <w:b/>
          <w:kern w:val="0"/>
          <w:sz w:val="32"/>
          <w:szCs w:val="24"/>
          <w:lang w:eastAsia="pl-PL"/>
        </w:rPr>
      </w:pPr>
    </w:p>
    <w:p w:rsidR="000B0D3C" w:rsidRPr="000B0D3C" w:rsidRDefault="000B0D3C" w:rsidP="000B0D3C">
      <w:pPr>
        <w:spacing w:after="0" w:line="360" w:lineRule="auto"/>
        <w:ind w:left="3403" w:firstLine="708"/>
        <w:jc w:val="both"/>
        <w:rPr>
          <w:rFonts w:ascii="Times New Roman" w:eastAsia="Times New Roman" w:hAnsi="Times New Roman" w:cs="Times New Roman"/>
          <w:b/>
          <w:kern w:val="0"/>
          <w:lang w:eastAsia="pl-PL"/>
        </w:rPr>
      </w:pPr>
      <w:r>
        <w:rPr>
          <w:rFonts w:ascii="Times New Roman" w:eastAsia="Times New Roman" w:hAnsi="Times New Roman" w:cs="Times New Roman"/>
          <w:b/>
          <w:kern w:val="0"/>
          <w:lang w:eastAsia="pl-PL"/>
        </w:rPr>
        <w:t xml:space="preserve">            </w:t>
      </w:r>
      <w:r w:rsidR="007869C4">
        <w:rPr>
          <w:rFonts w:ascii="Times New Roman" w:eastAsia="Times New Roman" w:hAnsi="Times New Roman" w:cs="Times New Roman"/>
          <w:b/>
          <w:kern w:val="0"/>
          <w:lang w:eastAsia="pl-PL"/>
        </w:rPr>
        <w:t xml:space="preserve">    Przewodniczący Rady Gminy</w:t>
      </w:r>
    </w:p>
    <w:p w:rsidR="000B0D3C" w:rsidRPr="000B0D3C" w:rsidRDefault="000B0D3C" w:rsidP="000B0D3C">
      <w:pPr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b/>
          <w:kern w:val="0"/>
          <w:lang w:eastAsia="pl-PL"/>
        </w:rPr>
      </w:pPr>
      <w:r w:rsidRPr="000B0D3C">
        <w:rPr>
          <w:rFonts w:ascii="Times New Roman" w:eastAsia="Times New Roman" w:hAnsi="Times New Roman" w:cs="Times New Roman"/>
          <w:b/>
          <w:kern w:val="0"/>
          <w:lang w:eastAsia="pl-PL"/>
        </w:rPr>
        <w:t xml:space="preserve">                       </w:t>
      </w:r>
    </w:p>
    <w:p w:rsidR="000B0D3C" w:rsidRPr="000B0D3C" w:rsidRDefault="000B0D3C" w:rsidP="000B0D3C">
      <w:pPr>
        <w:spacing w:after="0" w:line="240" w:lineRule="auto"/>
        <w:ind w:firstLine="4111"/>
        <w:jc w:val="both"/>
        <w:rPr>
          <w:rFonts w:ascii="Times New Roman" w:eastAsia="Times New Roman" w:hAnsi="Times New Roman" w:cs="Times New Roman"/>
          <w:bCs/>
          <w:kern w:val="0"/>
          <w:lang w:eastAsia="pl-PL"/>
        </w:rPr>
      </w:pPr>
      <w:r w:rsidRPr="000B0D3C">
        <w:rPr>
          <w:rFonts w:ascii="Times New Roman" w:eastAsia="Times New Roman" w:hAnsi="Times New Roman" w:cs="Times New Roman"/>
          <w:b/>
          <w:kern w:val="0"/>
          <w:lang w:eastAsia="pl-PL"/>
        </w:rPr>
        <w:t xml:space="preserve">                           </w:t>
      </w:r>
      <w:r w:rsidR="007869C4">
        <w:rPr>
          <w:rFonts w:ascii="Times New Roman" w:eastAsia="Times New Roman" w:hAnsi="Times New Roman" w:cs="Times New Roman"/>
          <w:b/>
          <w:kern w:val="0"/>
          <w:lang w:eastAsia="pl-PL"/>
        </w:rPr>
        <w:t>Wiesław Szarek</w:t>
      </w:r>
    </w:p>
    <w:p w:rsidR="000B0D3C" w:rsidRDefault="000B0D3C" w:rsidP="000B0D3C">
      <w:pPr>
        <w:keepNext/>
        <w:autoSpaceDE w:val="0"/>
        <w:autoSpaceDN w:val="0"/>
        <w:adjustRightInd w:val="0"/>
        <w:spacing w:before="160" w:after="320" w:line="240" w:lineRule="auto"/>
        <w:jc w:val="right"/>
        <w:rPr>
          <w:rFonts w:ascii="Arial" w:eastAsia="Times New Roman" w:hAnsi="Arial" w:cs="Calibri"/>
          <w:b/>
          <w:kern w:val="0"/>
          <w:sz w:val="32"/>
          <w:szCs w:val="24"/>
          <w:lang w:eastAsia="pl-PL"/>
        </w:rPr>
      </w:pPr>
    </w:p>
    <w:sectPr w:rsidR="000B0D3C" w:rsidSect="00E14BC6">
      <w:pgSz w:w="11906" w:h="16838"/>
      <w:pgMar w:top="992" w:right="1417" w:bottom="992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C938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07A98FA6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>
    <w:nsid w:val="092A65C4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>
    <w:nsid w:val="22A14201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>
    <w:nsid w:val="29B00F6C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>
    <w:nsid w:val="2C373516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>
    <w:nsid w:val="40CA8845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>
    <w:nsid w:val="45485B36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>
    <w:nsid w:val="52F86123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>
    <w:nsid w:val="53A1B6F4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>
    <w:nsid w:val="5DD26CBD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1">
    <w:nsid w:val="6681F2A5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2">
    <w:nsid w:val="6FF4F25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2"/>
  </w:num>
  <w:num w:numId="5">
    <w:abstractNumId w:val="2"/>
  </w:num>
  <w:num w:numId="6">
    <w:abstractNumId w:val="7"/>
  </w:num>
  <w:num w:numId="7">
    <w:abstractNumId w:val="6"/>
  </w:num>
  <w:num w:numId="8">
    <w:abstractNumId w:val="11"/>
  </w:num>
  <w:num w:numId="9">
    <w:abstractNumId w:val="8"/>
  </w:num>
  <w:num w:numId="10">
    <w:abstractNumId w:val="3"/>
  </w:num>
  <w:num w:numId="11">
    <w:abstractNumId w:val="0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5B02"/>
    <w:rsid w:val="000B0D3C"/>
    <w:rsid w:val="00145B02"/>
    <w:rsid w:val="0047106F"/>
    <w:rsid w:val="007869C4"/>
    <w:rsid w:val="007A133E"/>
    <w:rsid w:val="00822B0A"/>
    <w:rsid w:val="00913472"/>
    <w:rsid w:val="009E42F1"/>
    <w:rsid w:val="00C379C8"/>
    <w:rsid w:val="00DD3A66"/>
    <w:rsid w:val="00E71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9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Prosty11">
    <w:name w:val="Tabela - Prosty 11"/>
    <w:basedOn w:val="Standardowy"/>
    <w:next w:val="Tabela-Prosty1"/>
    <w:uiPriority w:val="99"/>
    <w:rsid w:val="00DD3A6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kern w:val="0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-Prosty1">
    <w:name w:val="Table Simple 1"/>
    <w:basedOn w:val="Standardowy"/>
    <w:uiPriority w:val="99"/>
    <w:semiHidden/>
    <w:unhideWhenUsed/>
    <w:rsid w:val="00DD3A6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ela-Prosty12">
    <w:name w:val="Tabela - Prosty 12"/>
    <w:basedOn w:val="Standardowy"/>
    <w:next w:val="Tabela-Prosty1"/>
    <w:uiPriority w:val="99"/>
    <w:rsid w:val="0047106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kern w:val="0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Prosty13">
    <w:name w:val="Tabela - Prosty 13"/>
    <w:basedOn w:val="Standardowy"/>
    <w:next w:val="Tabela-Prosty1"/>
    <w:uiPriority w:val="99"/>
    <w:rsid w:val="00822B0A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kern w:val="0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585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Beperszcz Dominika</dc:creator>
  <cp:keywords/>
  <dc:description/>
  <cp:lastModifiedBy>Martyna Rogowiecka</cp:lastModifiedBy>
  <cp:revision>9</cp:revision>
  <cp:lastPrinted>2023-10-24T10:05:00Z</cp:lastPrinted>
  <dcterms:created xsi:type="dcterms:W3CDTF">2023-08-24T23:01:00Z</dcterms:created>
  <dcterms:modified xsi:type="dcterms:W3CDTF">2023-10-24T10:06:00Z</dcterms:modified>
</cp:coreProperties>
</file>