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18D" w:rsidRPr="00B0518D" w:rsidRDefault="00CD7F2C" w:rsidP="00B0518D">
      <w:pPr>
        <w:spacing w:line="240" w:lineRule="auto"/>
        <w:jc w:val="right"/>
        <w:rPr>
          <w:rFonts w:ascii="Tahoma" w:hAnsi="Tahoma" w:cs="Tahoma"/>
          <w:b/>
          <w:bCs/>
          <w:sz w:val="20"/>
          <w:szCs w:val="20"/>
        </w:rPr>
      </w:pPr>
      <w:r w:rsidRPr="00B0518D">
        <w:rPr>
          <w:rFonts w:ascii="Tahoma" w:hAnsi="Tahoma" w:cs="Tahoma"/>
          <w:b/>
          <w:bCs/>
          <w:sz w:val="20"/>
          <w:szCs w:val="20"/>
        </w:rPr>
        <w:t xml:space="preserve">   </w:t>
      </w:r>
      <w:r w:rsidR="00B0518D" w:rsidRPr="00B0518D">
        <w:rPr>
          <w:rFonts w:ascii="Tahoma" w:hAnsi="Tahoma" w:cs="Tahoma"/>
          <w:b/>
          <w:bCs/>
          <w:sz w:val="20"/>
          <w:szCs w:val="20"/>
        </w:rPr>
        <w:t xml:space="preserve">                                                                                                          Załącznik Nr 3</w:t>
      </w:r>
    </w:p>
    <w:p w:rsidR="00B0518D" w:rsidRPr="00B0518D" w:rsidRDefault="00B0518D" w:rsidP="00B0518D">
      <w:pPr>
        <w:spacing w:line="240" w:lineRule="auto"/>
        <w:jc w:val="right"/>
        <w:rPr>
          <w:rFonts w:ascii="Tahoma" w:hAnsi="Tahoma" w:cs="Tahoma"/>
          <w:sz w:val="20"/>
          <w:szCs w:val="20"/>
        </w:rPr>
      </w:pPr>
      <w:r w:rsidRPr="00B0518D">
        <w:rPr>
          <w:rFonts w:ascii="Tahoma" w:hAnsi="Tahoma" w:cs="Tahoma"/>
          <w:sz w:val="20"/>
          <w:szCs w:val="20"/>
        </w:rPr>
        <w:t xml:space="preserve">                                                                            </w:t>
      </w:r>
      <w:r w:rsidR="002C1C12">
        <w:rPr>
          <w:rFonts w:ascii="Tahoma" w:hAnsi="Tahoma" w:cs="Tahoma"/>
          <w:sz w:val="20"/>
          <w:szCs w:val="20"/>
        </w:rPr>
        <w:t xml:space="preserve">                do uchwały Nr LXV/520/23</w:t>
      </w:r>
    </w:p>
    <w:p w:rsidR="00B0518D" w:rsidRPr="00B0518D" w:rsidRDefault="00B0518D" w:rsidP="00B0518D">
      <w:pPr>
        <w:spacing w:line="240" w:lineRule="auto"/>
        <w:jc w:val="right"/>
        <w:rPr>
          <w:rFonts w:ascii="Tahoma" w:hAnsi="Tahoma" w:cs="Tahoma"/>
          <w:sz w:val="20"/>
          <w:szCs w:val="20"/>
        </w:rPr>
      </w:pPr>
      <w:r w:rsidRPr="00B0518D">
        <w:rPr>
          <w:rFonts w:ascii="Tahoma" w:hAnsi="Tahoma" w:cs="Tahoma"/>
          <w:sz w:val="20"/>
          <w:szCs w:val="20"/>
        </w:rPr>
        <w:t xml:space="preserve">                                                                          </w:t>
      </w:r>
      <w:r w:rsidR="002C1C12">
        <w:rPr>
          <w:rFonts w:ascii="Tahoma" w:hAnsi="Tahoma" w:cs="Tahoma"/>
          <w:sz w:val="20"/>
          <w:szCs w:val="20"/>
        </w:rPr>
        <w:t xml:space="preserve">                  Rady Gminy Mrągowo z dnia 29 marca 2023r.</w:t>
      </w:r>
    </w:p>
    <w:p w:rsidR="00A05569" w:rsidRPr="00B0518D" w:rsidRDefault="00B0518D" w:rsidP="00B0518D">
      <w:pPr>
        <w:spacing w:line="240" w:lineRule="auto"/>
        <w:jc w:val="right"/>
        <w:rPr>
          <w:rFonts w:ascii="Tahoma" w:hAnsi="Tahoma" w:cs="Tahoma"/>
          <w:b/>
          <w:bCs/>
          <w:sz w:val="20"/>
          <w:szCs w:val="20"/>
        </w:rPr>
      </w:pPr>
      <w:r w:rsidRPr="00B0518D">
        <w:rPr>
          <w:rFonts w:ascii="Tahoma" w:hAnsi="Tahoma" w:cs="Tahoma"/>
          <w:b/>
          <w:bCs/>
          <w:sz w:val="20"/>
          <w:szCs w:val="20"/>
        </w:rPr>
        <w:t>w sprawie: zmiany WPF Gminy Mrągowo na lat</w:t>
      </w:r>
      <w:r w:rsidR="00292513">
        <w:rPr>
          <w:rFonts w:ascii="Tahoma" w:hAnsi="Tahoma" w:cs="Tahoma"/>
          <w:b/>
          <w:bCs/>
          <w:sz w:val="20"/>
          <w:szCs w:val="20"/>
        </w:rPr>
        <w:t>a</w:t>
      </w:r>
      <w:r w:rsidRPr="00B0518D">
        <w:rPr>
          <w:rFonts w:ascii="Tahoma" w:hAnsi="Tahoma" w:cs="Tahoma"/>
          <w:b/>
          <w:bCs/>
          <w:sz w:val="20"/>
          <w:szCs w:val="20"/>
        </w:rPr>
        <w:t xml:space="preserve"> 2023-2037</w:t>
      </w:r>
      <w:r w:rsidR="00CD7F2C" w:rsidRPr="00B0518D">
        <w:rPr>
          <w:rFonts w:ascii="Tahoma" w:hAnsi="Tahoma" w:cs="Tahoma"/>
          <w:b/>
          <w:bCs/>
          <w:sz w:val="20"/>
          <w:szCs w:val="20"/>
        </w:rPr>
        <w:t xml:space="preserve">         </w:t>
      </w:r>
    </w:p>
    <w:p w:rsidR="00CD7F2C" w:rsidRPr="00B0518D" w:rsidRDefault="00CD7F2C" w:rsidP="00A05569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B0518D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</w:t>
      </w:r>
    </w:p>
    <w:p w:rsidR="005853AB" w:rsidRDefault="005853AB" w:rsidP="005853AB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5853AB" w:rsidRPr="005853AB" w:rsidRDefault="005853AB" w:rsidP="005853AB">
      <w:pPr>
        <w:jc w:val="center"/>
        <w:rPr>
          <w:rFonts w:ascii="Arial" w:hAnsi="Arial" w:cs="Arial"/>
          <w:b/>
          <w:bCs/>
        </w:rPr>
      </w:pPr>
      <w:r w:rsidRPr="005853AB">
        <w:rPr>
          <w:rFonts w:ascii="Arial" w:hAnsi="Arial" w:cs="Arial"/>
          <w:b/>
          <w:bCs/>
        </w:rPr>
        <w:t>Objaśnienia przyjętych wartości do Wieloletniej Prognozy Finansowej Gminy Mrągowo na lata 2023-2037</w:t>
      </w:r>
    </w:p>
    <w:p w:rsidR="005853AB" w:rsidRPr="005853AB" w:rsidRDefault="005853AB" w:rsidP="005853AB">
      <w:pPr>
        <w:jc w:val="both"/>
        <w:rPr>
          <w:rFonts w:ascii="Arial" w:hAnsi="Arial" w:cs="Arial"/>
          <w:sz w:val="20"/>
          <w:szCs w:val="20"/>
        </w:rPr>
      </w:pPr>
      <w:r w:rsidRPr="005853AB">
        <w:rPr>
          <w:rFonts w:ascii="Arial" w:hAnsi="Arial" w:cs="Arial"/>
          <w:sz w:val="20"/>
          <w:szCs w:val="20"/>
        </w:rPr>
        <w:t>Zgodnie ze zmianami w budżecie na dzień 29 marca 2023 r., dokonano następujących zmian w Wieloletniej Prognozie Finansowej Gminy Mrągowo:</w:t>
      </w:r>
    </w:p>
    <w:p w:rsidR="005853AB" w:rsidRPr="005853AB" w:rsidRDefault="005853AB" w:rsidP="005853AB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853AB">
        <w:rPr>
          <w:rFonts w:ascii="Arial" w:hAnsi="Arial" w:cs="Arial"/>
          <w:sz w:val="20"/>
          <w:szCs w:val="20"/>
        </w:rPr>
        <w:t>Dochody ogółem zmniejszono o 594 517,32 zł, z czego dochody bieżące zwiększono o 105 482,68 zł, a dochody majątkowe zmniejszono o 700 000,00 zł.</w:t>
      </w:r>
    </w:p>
    <w:p w:rsidR="005853AB" w:rsidRPr="005853AB" w:rsidRDefault="005853AB" w:rsidP="005853AB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853AB">
        <w:rPr>
          <w:rFonts w:ascii="Arial" w:hAnsi="Arial" w:cs="Arial"/>
          <w:sz w:val="20"/>
          <w:szCs w:val="20"/>
        </w:rPr>
        <w:t>Wydatki ogółem zwiększono o 1 263 482,68 zł, z czego wydatki bieżące zwiększono o 302 882,68 zł, a wydatki majątkowe zwiększono o 960 600,00 zł.</w:t>
      </w:r>
    </w:p>
    <w:p w:rsidR="005853AB" w:rsidRPr="005853AB" w:rsidRDefault="005853AB" w:rsidP="005853AB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853AB">
        <w:rPr>
          <w:rFonts w:ascii="Arial" w:hAnsi="Arial" w:cs="Arial"/>
          <w:sz w:val="20"/>
          <w:szCs w:val="20"/>
        </w:rPr>
        <w:t>Wynik budżetu jest deficytowy i po zmianach wynosi -7 406 430,01 zł.</w:t>
      </w:r>
    </w:p>
    <w:p w:rsidR="005853AB" w:rsidRPr="005853AB" w:rsidRDefault="005853AB" w:rsidP="005853AB">
      <w:pPr>
        <w:jc w:val="both"/>
        <w:rPr>
          <w:rFonts w:ascii="Arial" w:hAnsi="Arial" w:cs="Arial"/>
          <w:sz w:val="20"/>
          <w:szCs w:val="20"/>
        </w:rPr>
      </w:pPr>
      <w:r w:rsidRPr="005853AB">
        <w:rPr>
          <w:rFonts w:ascii="Arial" w:hAnsi="Arial" w:cs="Arial"/>
          <w:sz w:val="20"/>
          <w:szCs w:val="20"/>
        </w:rPr>
        <w:t>Szczegółowe informacje na temat zmian w zakresie dochodów, wydatków i wyniku budżetu w roku budżetowym przedstawiono w tabeli poniżej.</w:t>
      </w:r>
    </w:p>
    <w:p w:rsidR="005853AB" w:rsidRPr="005853AB" w:rsidRDefault="005853AB" w:rsidP="005853A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5853AB">
        <w:rPr>
          <w:rFonts w:ascii="Arial" w:hAnsi="Arial" w:cs="Arial"/>
          <w:b/>
          <w:bCs/>
          <w:sz w:val="20"/>
          <w:szCs w:val="20"/>
        </w:rPr>
        <w:t>Tabela 1. Zmiany w dochodach i wydatkach w 2023 roku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/>
      </w:tblPr>
      <w:tblGrid>
        <w:gridCol w:w="2268"/>
        <w:gridCol w:w="2268"/>
        <w:gridCol w:w="2268"/>
        <w:gridCol w:w="2268"/>
      </w:tblGrid>
      <w:tr w:rsidR="005853AB" w:rsidRPr="005853AB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Po zmianie [zł]</w:t>
            </w:r>
          </w:p>
        </w:tc>
      </w:tr>
      <w:tr w:rsidR="005853AB" w:rsidRPr="005853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Dochody ogółem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60 461 781,35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-594 517,32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59 867 264,03</w:t>
            </w:r>
          </w:p>
        </w:tc>
      </w:tr>
      <w:tr w:rsidR="005853AB" w:rsidRPr="005853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Dochody bieżące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39 066 230,35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+105 482,68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39 171 713,03</w:t>
            </w:r>
          </w:p>
        </w:tc>
      </w:tr>
      <w:tr w:rsidR="005853AB" w:rsidRPr="005853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Dotacje bieżące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6 192 923,63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+69 936,68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6 262 860,31</w:t>
            </w:r>
          </w:p>
        </w:tc>
      </w:tr>
      <w:tr w:rsidR="005853AB" w:rsidRPr="005853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Pozostałe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18 387 921,72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+35 546,00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18 423 467,72</w:t>
            </w:r>
          </w:p>
        </w:tc>
      </w:tr>
      <w:tr w:rsidR="005853AB" w:rsidRPr="005853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Dochody majątkowe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21 395 551,00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-700 000,00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20 695 551,00</w:t>
            </w:r>
          </w:p>
        </w:tc>
      </w:tr>
      <w:tr w:rsidR="005853AB" w:rsidRPr="005853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Wydatki ogółem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66 010 211,36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+1 263 482,68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67 273 694,04</w:t>
            </w:r>
          </w:p>
        </w:tc>
      </w:tr>
      <w:tr w:rsidR="005853AB" w:rsidRPr="005853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Wydatki bieżące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40 110 164,36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+302 882,68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40 413 047,04</w:t>
            </w:r>
          </w:p>
        </w:tc>
      </w:tr>
      <w:tr w:rsidR="005853AB" w:rsidRPr="005853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Wynagrodzenia i pochodne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15 185 974,11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+92 392,68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15 278 366,79</w:t>
            </w:r>
          </w:p>
        </w:tc>
      </w:tr>
      <w:tr w:rsidR="005853AB" w:rsidRPr="005853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Pozostałe wydatki bieżące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23 269 190,25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+210 490,00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23 479 680,25</w:t>
            </w:r>
          </w:p>
        </w:tc>
      </w:tr>
      <w:tr w:rsidR="005853AB" w:rsidRPr="005853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Wydatki majątkowe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25 900 047,00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+960 600,00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26 860 647,00</w:t>
            </w:r>
          </w:p>
        </w:tc>
      </w:tr>
      <w:tr w:rsidR="005853AB" w:rsidRPr="005853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Wynik budżetu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-5 548 430,01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-1 858 000,00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-7 406 430,01</w:t>
            </w:r>
          </w:p>
        </w:tc>
      </w:tr>
    </w:tbl>
    <w:p w:rsidR="005853AB" w:rsidRPr="005853AB" w:rsidRDefault="005853AB" w:rsidP="005853AB">
      <w:pPr>
        <w:jc w:val="both"/>
        <w:rPr>
          <w:rFonts w:ascii="Arial" w:hAnsi="Arial" w:cs="Arial"/>
          <w:sz w:val="20"/>
          <w:szCs w:val="20"/>
        </w:rPr>
      </w:pPr>
      <w:r w:rsidRPr="005853AB">
        <w:rPr>
          <w:rFonts w:ascii="Arial" w:hAnsi="Arial" w:cs="Arial"/>
          <w:sz w:val="20"/>
          <w:szCs w:val="20"/>
        </w:rPr>
        <w:t>Źródło: opracowanie własne.</w:t>
      </w:r>
    </w:p>
    <w:p w:rsidR="005853AB" w:rsidRPr="005853AB" w:rsidRDefault="005853AB" w:rsidP="005853AB">
      <w:pPr>
        <w:jc w:val="both"/>
        <w:rPr>
          <w:rFonts w:ascii="Arial" w:hAnsi="Arial" w:cs="Arial"/>
          <w:sz w:val="20"/>
          <w:szCs w:val="20"/>
        </w:rPr>
      </w:pPr>
      <w:r w:rsidRPr="005853AB">
        <w:rPr>
          <w:rFonts w:ascii="Arial" w:hAnsi="Arial" w:cs="Arial"/>
          <w:sz w:val="20"/>
          <w:szCs w:val="20"/>
        </w:rPr>
        <w:t>W Wieloletniej Prognozie Finansowej Gminy Mrągowo:</w:t>
      </w:r>
    </w:p>
    <w:p w:rsidR="005853AB" w:rsidRPr="005853AB" w:rsidRDefault="005853AB" w:rsidP="005853AB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853AB">
        <w:rPr>
          <w:rFonts w:ascii="Arial" w:hAnsi="Arial" w:cs="Arial"/>
          <w:sz w:val="20"/>
          <w:szCs w:val="20"/>
        </w:rPr>
        <w:t>Przychody zwiększono o 1 918 000,00 zł, w tym przychody z tytułu kredytów, pożyczek lub emisji papierów wartościowych zmniejszono o 1 880 733,65 zł, zwiększono zaś przychody budżetowe z innych źródeł.</w:t>
      </w:r>
    </w:p>
    <w:p w:rsidR="005853AB" w:rsidRPr="005853AB" w:rsidRDefault="005853AB" w:rsidP="005853AB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853AB">
        <w:rPr>
          <w:rFonts w:ascii="Arial" w:hAnsi="Arial" w:cs="Arial"/>
          <w:sz w:val="20"/>
          <w:szCs w:val="20"/>
        </w:rPr>
        <w:lastRenderedPageBreak/>
        <w:t>Rozchody budżetu zwiększono o 60 000,00 zł, w tym spłaty rat kapitałowych od kredytów, pożyczek i emisji papierów wartościowych zwiększono o 60 000,00 zł.</w:t>
      </w:r>
    </w:p>
    <w:p w:rsidR="005853AB" w:rsidRPr="005853AB" w:rsidRDefault="005853AB" w:rsidP="005853AB">
      <w:pPr>
        <w:jc w:val="both"/>
        <w:rPr>
          <w:rFonts w:ascii="Arial" w:hAnsi="Arial" w:cs="Arial"/>
          <w:sz w:val="20"/>
          <w:szCs w:val="20"/>
        </w:rPr>
      </w:pPr>
      <w:r w:rsidRPr="005853AB">
        <w:rPr>
          <w:rFonts w:ascii="Arial" w:hAnsi="Arial" w:cs="Arial"/>
          <w:sz w:val="20"/>
          <w:szCs w:val="20"/>
        </w:rPr>
        <w:t>Szczegółowe informacje na temat zmian w zakresie przychodów i rozchodów w roku budżetowym przedstawiono w tabeli poniżej.</w:t>
      </w:r>
    </w:p>
    <w:p w:rsidR="005853AB" w:rsidRPr="005853AB" w:rsidRDefault="005853AB" w:rsidP="005853AB">
      <w:pPr>
        <w:jc w:val="both"/>
        <w:rPr>
          <w:rFonts w:ascii="Arial" w:hAnsi="Arial" w:cs="Arial"/>
          <w:sz w:val="20"/>
          <w:szCs w:val="20"/>
        </w:rPr>
      </w:pPr>
      <w:r w:rsidRPr="005853AB">
        <w:rPr>
          <w:rFonts w:ascii="Arial" w:hAnsi="Arial" w:cs="Arial"/>
          <w:sz w:val="20"/>
          <w:szCs w:val="20"/>
        </w:rPr>
        <w:t>Tabela 2. Zmiany w przychodach i rozchodach na 2023 rok.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/>
      </w:tblPr>
      <w:tblGrid>
        <w:gridCol w:w="2268"/>
        <w:gridCol w:w="2268"/>
        <w:gridCol w:w="2268"/>
        <w:gridCol w:w="2268"/>
      </w:tblGrid>
      <w:tr w:rsidR="005853AB" w:rsidRPr="005853AB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Po zmianie [zł]</w:t>
            </w:r>
          </w:p>
        </w:tc>
      </w:tr>
      <w:tr w:rsidR="005853AB" w:rsidRPr="005853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Przychody budżetu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9 208 430,01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+1 918 000,00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11 126 430,01</w:t>
            </w:r>
          </w:p>
        </w:tc>
      </w:tr>
      <w:tr w:rsidR="005853AB" w:rsidRPr="005853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Kredyty, pożyczki, emisja papierów wartościowych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7 637 476,85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-1 880 733,65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5 756 743,20</w:t>
            </w:r>
          </w:p>
        </w:tc>
      </w:tr>
      <w:tr w:rsidR="005853AB" w:rsidRPr="005853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Nadwyżka budżetowa z lat ubiegłych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1 570 953,16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+114 588,99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1 685 542,15</w:t>
            </w:r>
          </w:p>
        </w:tc>
      </w:tr>
      <w:tr w:rsidR="005853AB" w:rsidRPr="005853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Wolne środki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+3 684 144,66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3 684 144,66</w:t>
            </w:r>
          </w:p>
        </w:tc>
      </w:tr>
      <w:tr w:rsidR="005853AB" w:rsidRPr="005853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Rozchody budżetu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3 660 000,00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+60 000,00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3 720 000,00</w:t>
            </w:r>
          </w:p>
        </w:tc>
      </w:tr>
      <w:tr w:rsidR="005853AB" w:rsidRPr="005853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Spłata rat kapitałowych i wykup obligacji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3 660 000,00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+60 000,00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3 720 000,00</w:t>
            </w:r>
          </w:p>
        </w:tc>
      </w:tr>
    </w:tbl>
    <w:p w:rsidR="005853AB" w:rsidRPr="005853AB" w:rsidRDefault="005853AB" w:rsidP="005853AB">
      <w:pPr>
        <w:jc w:val="both"/>
        <w:rPr>
          <w:rFonts w:ascii="Arial" w:hAnsi="Arial" w:cs="Arial"/>
          <w:sz w:val="20"/>
          <w:szCs w:val="20"/>
        </w:rPr>
      </w:pPr>
      <w:r w:rsidRPr="005853AB">
        <w:rPr>
          <w:rFonts w:ascii="Arial" w:hAnsi="Arial" w:cs="Arial"/>
          <w:sz w:val="20"/>
          <w:szCs w:val="20"/>
        </w:rPr>
        <w:t>Źródło: opracowanie własne.</w:t>
      </w:r>
    </w:p>
    <w:p w:rsidR="005853AB" w:rsidRPr="005853AB" w:rsidRDefault="005853AB" w:rsidP="005853AB">
      <w:pPr>
        <w:jc w:val="both"/>
        <w:rPr>
          <w:rFonts w:ascii="Arial" w:hAnsi="Arial" w:cs="Arial"/>
          <w:sz w:val="20"/>
          <w:szCs w:val="20"/>
        </w:rPr>
      </w:pPr>
      <w:r w:rsidRPr="005853AB">
        <w:rPr>
          <w:rFonts w:ascii="Arial" w:hAnsi="Arial" w:cs="Arial"/>
          <w:sz w:val="20"/>
          <w:szCs w:val="20"/>
        </w:rPr>
        <w:t>Zmiany w Wieloletniej Prognozie Finansowej Gminy Mrągowo na lata 2023-2037 spowodowały modyfikacje w kształtowaniu się relacji z art. 243 ustawy o finansach publicznych. Szczegóły zaprezentowano w tabeli poniżej.</w:t>
      </w:r>
    </w:p>
    <w:p w:rsidR="005853AB" w:rsidRPr="005853AB" w:rsidRDefault="005853AB" w:rsidP="005853AB">
      <w:pPr>
        <w:jc w:val="both"/>
        <w:rPr>
          <w:rFonts w:ascii="Arial" w:hAnsi="Arial" w:cs="Arial"/>
          <w:sz w:val="20"/>
          <w:szCs w:val="20"/>
        </w:rPr>
      </w:pPr>
      <w:r w:rsidRPr="005853AB">
        <w:rPr>
          <w:rFonts w:ascii="Arial" w:hAnsi="Arial" w:cs="Arial"/>
          <w:sz w:val="20"/>
          <w:szCs w:val="20"/>
        </w:rPr>
        <w:t>Tabela 3. Kształtowanie się relacji z art. 243 ust. 1 ustawy o finansach publicznych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/>
      </w:tblPr>
      <w:tblGrid>
        <w:gridCol w:w="825"/>
        <w:gridCol w:w="1649"/>
        <w:gridCol w:w="1650"/>
        <w:gridCol w:w="1649"/>
        <w:gridCol w:w="1650"/>
        <w:gridCol w:w="1649"/>
      </w:tblGrid>
      <w:tr w:rsidR="005853AB" w:rsidRPr="005853AB">
        <w:trPr>
          <w:tblHeader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Obsługa zadłużenia (fakt. i plan. po wyłączeniach)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Maksymalna obsługa zadłużenia (wg planu po III kwartale)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Zachowanie relacji z art. 243 (w oparciu o plan po 3 kwartale)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Maksymalna obsługa zadłużenia (wg przewidywanego wykonania)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Zachowanie relacji z art. 243 (w oparciu o przewidywane wykonanie)</w:t>
            </w:r>
          </w:p>
        </w:tc>
      </w:tr>
      <w:tr w:rsidR="005853AB" w:rsidRPr="005853AB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10,26%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17,98%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21,15%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TAK</w:t>
            </w:r>
          </w:p>
        </w:tc>
      </w:tr>
      <w:tr w:rsidR="005853AB" w:rsidRPr="005853AB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9,38%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15,94%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19,11%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TAK</w:t>
            </w:r>
          </w:p>
        </w:tc>
      </w:tr>
      <w:tr w:rsidR="005853AB" w:rsidRPr="005853AB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7,73%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13,85%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17,02%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TAK</w:t>
            </w:r>
          </w:p>
        </w:tc>
      </w:tr>
      <w:tr w:rsidR="005853AB" w:rsidRPr="005853AB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6,56%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8,06%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9,82%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TAK</w:t>
            </w:r>
          </w:p>
        </w:tc>
      </w:tr>
      <w:tr w:rsidR="005853AB" w:rsidRPr="005853AB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6,30%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9,56%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11,32%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TAK</w:t>
            </w:r>
          </w:p>
        </w:tc>
      </w:tr>
      <w:tr w:rsidR="005853AB" w:rsidRPr="005853AB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2028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5,80%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9,21%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10,97%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TAK</w:t>
            </w:r>
          </w:p>
        </w:tc>
      </w:tr>
      <w:tr w:rsidR="005853AB" w:rsidRPr="005853AB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2029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5,88%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8,65%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10,41%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TAK</w:t>
            </w:r>
          </w:p>
        </w:tc>
      </w:tr>
      <w:tr w:rsidR="005853AB" w:rsidRPr="005853AB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2030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5,81%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9,56%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9,56%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TAK</w:t>
            </w:r>
          </w:p>
        </w:tc>
      </w:tr>
      <w:tr w:rsidR="005853AB" w:rsidRPr="005853AB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2031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4,58%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10,91%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10,91%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TAK</w:t>
            </w:r>
          </w:p>
        </w:tc>
      </w:tr>
      <w:tr w:rsidR="005853AB" w:rsidRPr="005853AB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2032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5,24%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10,84%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10,84%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TAK</w:t>
            </w:r>
          </w:p>
        </w:tc>
      </w:tr>
      <w:tr w:rsidR="005853AB" w:rsidRPr="005853AB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2033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4,11%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11,13%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11,13%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TAK</w:t>
            </w:r>
          </w:p>
        </w:tc>
      </w:tr>
      <w:tr w:rsidR="005853AB" w:rsidRPr="005853AB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2034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3,12%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11,27%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11,27%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TAK</w:t>
            </w:r>
          </w:p>
        </w:tc>
      </w:tr>
      <w:tr w:rsidR="005853AB" w:rsidRPr="005853AB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2035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1,87%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11,36%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11,36%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TAK</w:t>
            </w:r>
          </w:p>
        </w:tc>
      </w:tr>
      <w:tr w:rsidR="005853AB" w:rsidRPr="005853AB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2036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0,61%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11,39%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11,39%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TAK</w:t>
            </w:r>
          </w:p>
        </w:tc>
      </w:tr>
      <w:tr w:rsidR="005853AB" w:rsidRPr="005853AB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2037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0,46%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11,36%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11,36%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AB" w:rsidRPr="005853AB" w:rsidRDefault="005853AB" w:rsidP="00585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3AB">
              <w:rPr>
                <w:rFonts w:ascii="Arial" w:hAnsi="Arial" w:cs="Arial"/>
                <w:b/>
                <w:bCs/>
                <w:sz w:val="20"/>
                <w:szCs w:val="20"/>
              </w:rPr>
              <w:t>TAK</w:t>
            </w:r>
          </w:p>
        </w:tc>
      </w:tr>
    </w:tbl>
    <w:p w:rsidR="005853AB" w:rsidRPr="005853AB" w:rsidRDefault="005853AB" w:rsidP="005853AB">
      <w:pPr>
        <w:jc w:val="both"/>
        <w:rPr>
          <w:rFonts w:ascii="Arial" w:hAnsi="Arial" w:cs="Arial"/>
          <w:sz w:val="20"/>
          <w:szCs w:val="20"/>
        </w:rPr>
      </w:pPr>
      <w:r w:rsidRPr="005853AB">
        <w:rPr>
          <w:rFonts w:ascii="Arial" w:hAnsi="Arial" w:cs="Arial"/>
          <w:sz w:val="20"/>
          <w:szCs w:val="20"/>
        </w:rPr>
        <w:t>Źródło: Opracowanie własne.</w:t>
      </w:r>
    </w:p>
    <w:p w:rsidR="005853AB" w:rsidRPr="005853AB" w:rsidRDefault="005853AB" w:rsidP="005853AB">
      <w:pPr>
        <w:jc w:val="both"/>
        <w:rPr>
          <w:rFonts w:ascii="Arial" w:hAnsi="Arial" w:cs="Arial"/>
          <w:sz w:val="20"/>
          <w:szCs w:val="20"/>
        </w:rPr>
      </w:pPr>
      <w:r w:rsidRPr="005853AB">
        <w:rPr>
          <w:rFonts w:ascii="Arial" w:hAnsi="Arial" w:cs="Arial"/>
          <w:sz w:val="20"/>
          <w:szCs w:val="20"/>
        </w:rPr>
        <w:t>Dane w tabeli powyżej wskazują, że w całym okresie prognozy Gmina Mrągowo spełnia relację, o której mowa w art. 243 ust. 1 ustawy o finansach publicznych. Spełnienie dotyczy zarówno relacji obliczonej na podstawie planu na dzień 30.09.2022 r. jak i w oparciu o kolumnę „2022 przewidywane wykonanie”.</w:t>
      </w:r>
    </w:p>
    <w:p w:rsidR="005853AB" w:rsidRPr="005853AB" w:rsidRDefault="005853AB" w:rsidP="005853AB">
      <w:pPr>
        <w:jc w:val="both"/>
        <w:rPr>
          <w:rFonts w:ascii="Arial" w:hAnsi="Arial" w:cs="Arial"/>
          <w:sz w:val="20"/>
          <w:szCs w:val="20"/>
        </w:rPr>
      </w:pPr>
      <w:r w:rsidRPr="005853AB">
        <w:rPr>
          <w:rFonts w:ascii="Arial" w:hAnsi="Arial" w:cs="Arial"/>
          <w:sz w:val="20"/>
          <w:szCs w:val="20"/>
        </w:rPr>
        <w:t>Zmiana Wieloletniej Prognozy Finansowej Gminy Mrągowo obejmuje również zmiany w załączniku nr 2, które szczegółowo opisano poniżej.</w:t>
      </w:r>
    </w:p>
    <w:p w:rsidR="005853AB" w:rsidRPr="005853AB" w:rsidRDefault="005853AB" w:rsidP="005853AB">
      <w:pPr>
        <w:jc w:val="both"/>
        <w:rPr>
          <w:rFonts w:ascii="Arial" w:hAnsi="Arial" w:cs="Arial"/>
          <w:sz w:val="20"/>
          <w:szCs w:val="20"/>
        </w:rPr>
      </w:pPr>
      <w:r w:rsidRPr="005853AB">
        <w:rPr>
          <w:rFonts w:ascii="Arial" w:hAnsi="Arial" w:cs="Arial"/>
          <w:sz w:val="20"/>
          <w:szCs w:val="20"/>
        </w:rPr>
        <w:t>Do załącznika nr 2 dodano następujące przedsięwzięcia:</w:t>
      </w:r>
    </w:p>
    <w:p w:rsidR="005853AB" w:rsidRPr="005853AB" w:rsidRDefault="005853AB" w:rsidP="005853AB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5853AB">
        <w:rPr>
          <w:rFonts w:ascii="Arial" w:hAnsi="Arial" w:cs="Arial"/>
          <w:sz w:val="20"/>
          <w:szCs w:val="20"/>
        </w:rPr>
        <w:t>Kanalizacja Popowo Salęckie.</w:t>
      </w:r>
    </w:p>
    <w:p w:rsidR="005853AB" w:rsidRPr="005853AB" w:rsidRDefault="005853AB" w:rsidP="005853AB">
      <w:pPr>
        <w:jc w:val="both"/>
        <w:rPr>
          <w:rFonts w:ascii="Arial" w:hAnsi="Arial" w:cs="Arial"/>
          <w:sz w:val="20"/>
          <w:szCs w:val="20"/>
        </w:rPr>
      </w:pPr>
      <w:r w:rsidRPr="005853AB">
        <w:rPr>
          <w:rFonts w:ascii="Arial" w:hAnsi="Arial" w:cs="Arial"/>
          <w:sz w:val="20"/>
          <w:szCs w:val="20"/>
        </w:rPr>
        <w:t>Dokonano zmian w zakresie następujących przedsięwzięć:</w:t>
      </w:r>
    </w:p>
    <w:p w:rsidR="005853AB" w:rsidRPr="005853AB" w:rsidRDefault="005853AB" w:rsidP="005853AB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5853AB">
        <w:rPr>
          <w:rFonts w:ascii="Arial" w:hAnsi="Arial" w:cs="Arial"/>
          <w:sz w:val="20"/>
          <w:szCs w:val="20"/>
        </w:rPr>
        <w:t>Budowa hali sportowej w miejscowości Szestno;</w:t>
      </w:r>
    </w:p>
    <w:p w:rsidR="005853AB" w:rsidRPr="005853AB" w:rsidRDefault="005853AB" w:rsidP="005853AB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5853AB">
        <w:rPr>
          <w:rFonts w:ascii="Arial" w:hAnsi="Arial" w:cs="Arial"/>
          <w:sz w:val="20"/>
          <w:szCs w:val="20"/>
        </w:rPr>
        <w:t>Kanalizacja Rydwągi - Etap II;</w:t>
      </w:r>
    </w:p>
    <w:p w:rsidR="005853AB" w:rsidRPr="005853AB" w:rsidRDefault="005853AB" w:rsidP="005853AB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5853AB">
        <w:rPr>
          <w:rFonts w:ascii="Arial" w:hAnsi="Arial" w:cs="Arial"/>
          <w:sz w:val="20"/>
          <w:szCs w:val="20"/>
        </w:rPr>
        <w:t>Kanalizacja Zawada.</w:t>
      </w:r>
    </w:p>
    <w:p w:rsidR="005853AB" w:rsidRPr="005853AB" w:rsidRDefault="005853AB" w:rsidP="005853AB">
      <w:pPr>
        <w:jc w:val="both"/>
        <w:rPr>
          <w:rFonts w:ascii="Arial" w:hAnsi="Arial" w:cs="Arial"/>
          <w:sz w:val="20"/>
          <w:szCs w:val="20"/>
        </w:rPr>
      </w:pPr>
      <w:r w:rsidRPr="005853AB">
        <w:rPr>
          <w:rFonts w:ascii="Arial" w:hAnsi="Arial" w:cs="Arial"/>
          <w:sz w:val="20"/>
          <w:szCs w:val="20"/>
        </w:rPr>
        <w:t>Z załącznika nr 2 usunięto następujące przedsięwzięcia:</w:t>
      </w:r>
    </w:p>
    <w:p w:rsidR="005853AB" w:rsidRPr="005853AB" w:rsidRDefault="005853AB" w:rsidP="005853AB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5853AB">
        <w:rPr>
          <w:rFonts w:ascii="Arial" w:hAnsi="Arial" w:cs="Arial"/>
          <w:sz w:val="20"/>
          <w:szCs w:val="20"/>
        </w:rPr>
        <w:t>Kanalizacja Muntowo-Popowo Salęckie.</w:t>
      </w:r>
    </w:p>
    <w:p w:rsidR="005853AB" w:rsidRPr="005853AB" w:rsidRDefault="005853AB" w:rsidP="005853AB">
      <w:pPr>
        <w:jc w:val="both"/>
        <w:rPr>
          <w:rFonts w:ascii="Arial" w:hAnsi="Arial" w:cs="Arial"/>
          <w:sz w:val="20"/>
          <w:szCs w:val="20"/>
        </w:rPr>
      </w:pPr>
      <w:r w:rsidRPr="005853AB">
        <w:rPr>
          <w:rFonts w:ascii="Arial" w:hAnsi="Arial" w:cs="Arial"/>
          <w:sz w:val="20"/>
          <w:szCs w:val="20"/>
        </w:rPr>
        <w:t>Wartości wykazane w pozostałych pozycjach WPF, stanowią informacje uzupełniające względem pozycji opisanych powyżej. Zostały przedstawione w WPF zgodnie z obowiązującym stanem faktycznym, na podstawie zawartych umów i porozumień.</w:t>
      </w:r>
    </w:p>
    <w:p w:rsidR="005853AB" w:rsidRPr="005853AB" w:rsidRDefault="005853AB" w:rsidP="005853AB">
      <w:pPr>
        <w:jc w:val="both"/>
        <w:rPr>
          <w:rFonts w:ascii="Arial" w:hAnsi="Arial" w:cs="Arial"/>
          <w:sz w:val="20"/>
          <w:szCs w:val="20"/>
        </w:rPr>
      </w:pPr>
      <w:r w:rsidRPr="005853AB">
        <w:rPr>
          <w:rFonts w:ascii="Arial" w:hAnsi="Arial" w:cs="Arial"/>
          <w:sz w:val="20"/>
          <w:szCs w:val="20"/>
        </w:rPr>
        <w:t>Pełen zakres zmian obrazują załączniki nr 1 i 2 do niniejszej uchwały.</w:t>
      </w:r>
    </w:p>
    <w:p w:rsidR="005853AB" w:rsidRPr="005853AB" w:rsidRDefault="005853AB" w:rsidP="005853AB">
      <w:pPr>
        <w:jc w:val="both"/>
        <w:rPr>
          <w:rFonts w:ascii="Arial" w:hAnsi="Arial" w:cs="Arial"/>
          <w:sz w:val="20"/>
          <w:szCs w:val="20"/>
        </w:rPr>
      </w:pPr>
    </w:p>
    <w:p w:rsidR="00CD7F2C" w:rsidRDefault="00292513" w:rsidP="005853A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Przewodniczący Rady Gminy</w:t>
      </w:r>
    </w:p>
    <w:p w:rsidR="00292513" w:rsidRPr="005853AB" w:rsidRDefault="00292513" w:rsidP="005853A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Wiesław Szarek</w:t>
      </w:r>
    </w:p>
    <w:sectPr w:rsidR="00292513" w:rsidRPr="005853AB" w:rsidSect="00B0518D">
      <w:pgSz w:w="11906" w:h="16838"/>
      <w:pgMar w:top="1418" w:right="1021" w:bottom="1021" w:left="1021" w:header="720" w:footer="720" w:gutter="0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2513" w:rsidRDefault="00292513" w:rsidP="00A05569">
      <w:pPr>
        <w:spacing w:after="0" w:line="240" w:lineRule="auto"/>
      </w:pPr>
      <w:r>
        <w:separator/>
      </w:r>
    </w:p>
  </w:endnote>
  <w:endnote w:type="continuationSeparator" w:id="0">
    <w:p w:rsidR="00292513" w:rsidRDefault="00292513" w:rsidP="00A05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2513" w:rsidRDefault="00292513" w:rsidP="00A05569">
      <w:pPr>
        <w:spacing w:after="0" w:line="240" w:lineRule="auto"/>
      </w:pPr>
      <w:r>
        <w:separator/>
      </w:r>
    </w:p>
  </w:footnote>
  <w:footnote w:type="continuationSeparator" w:id="0">
    <w:p w:rsidR="00292513" w:rsidRDefault="00292513" w:rsidP="00A055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>
    <w:nsid w:val="00000002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>
    <w:nsid w:val="00000003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3">
    <w:nsid w:val="00000004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4">
    <w:nsid w:val="00000005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6612"/>
    <w:rsid w:val="00292513"/>
    <w:rsid w:val="002C1C12"/>
    <w:rsid w:val="005853AB"/>
    <w:rsid w:val="009E42F1"/>
    <w:rsid w:val="00A05569"/>
    <w:rsid w:val="00AF6612"/>
    <w:rsid w:val="00B0518D"/>
    <w:rsid w:val="00B15EE8"/>
    <w:rsid w:val="00B57EAE"/>
    <w:rsid w:val="00CD7F2C"/>
    <w:rsid w:val="00F25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54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69"/>
  </w:style>
  <w:style w:type="paragraph" w:styleId="Stopka">
    <w:name w:val="footer"/>
    <w:basedOn w:val="Normalny"/>
    <w:link w:val="StopkaZnak"/>
    <w:uiPriority w:val="99"/>
    <w:unhideWhenUsed/>
    <w:rsid w:val="00A05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5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798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Beperszcz Dominika</dc:creator>
  <cp:keywords/>
  <dc:description/>
  <cp:lastModifiedBy>Martyna Rogowiecka</cp:lastModifiedBy>
  <cp:revision>8</cp:revision>
  <cp:lastPrinted>2023-03-28T07:32:00Z</cp:lastPrinted>
  <dcterms:created xsi:type="dcterms:W3CDTF">2023-03-22T10:50:00Z</dcterms:created>
  <dcterms:modified xsi:type="dcterms:W3CDTF">2023-03-28T07:33:00Z</dcterms:modified>
</cp:coreProperties>
</file>